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437"/>
        <w:spacing w:before="75" w:line="344" w:lineRule="exact"/>
        <w:outlineLvl w:val="0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b/>
          <w:bCs/>
          <w:spacing w:val="18"/>
          <w:position w:val="3"/>
        </w:rPr>
        <w:t>2</w:t>
      </w:r>
      <w:r>
        <w:rPr>
          <w:rFonts w:ascii="Arial" w:hAnsi="Arial" w:eastAsia="Arial" w:cs="Arial"/>
          <w:sz w:val="23"/>
          <w:szCs w:val="23"/>
          <w:b/>
          <w:bCs/>
          <w:spacing w:val="10"/>
          <w:position w:val="3"/>
        </w:rPr>
        <w:t>0</w:t>
      </w:r>
      <w:r>
        <w:rPr>
          <w:rFonts w:ascii="Arial" w:hAnsi="Arial" w:eastAsia="Arial" w:cs="Arial"/>
          <w:sz w:val="23"/>
          <w:szCs w:val="23"/>
          <w:b/>
          <w:bCs/>
          <w:spacing w:val="9"/>
          <w:position w:val="3"/>
        </w:rPr>
        <w:t>21</w:t>
      </w:r>
      <w:r>
        <w:rPr>
          <w:rFonts w:ascii="Arial" w:hAnsi="Arial" w:eastAsia="Arial" w:cs="Arial"/>
          <w:sz w:val="23"/>
          <w:szCs w:val="23"/>
          <w:spacing w:val="9"/>
          <w:position w:val="3"/>
        </w:rPr>
        <w:t xml:space="preserve"> </w:t>
      </w:r>
      <w:r>
        <w:rPr>
          <w:rFonts w:ascii="SimHei" w:hAnsi="SimHei" w:eastAsia="SimHei" w:cs="SimHei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3"/>
        </w:rPr>
        <w:t>年一级建造师考试《铁路工程管理与实务》真题及答案</w:t>
      </w:r>
      <w:r>
        <w:rPr>
          <w:rFonts w:ascii="Arial" w:hAnsi="Arial" w:eastAsia="Arial" w:cs="Arial"/>
          <w:sz w:val="23"/>
          <w:szCs w:val="23"/>
          <w:b/>
          <w:bCs/>
          <w:spacing w:val="9"/>
          <w:position w:val="3"/>
        </w:rPr>
        <w:t>(</w:t>
      </w:r>
      <w:r>
        <w:rPr>
          <w:rFonts w:ascii="SimHei" w:hAnsi="SimHei" w:eastAsia="SimHei" w:cs="SimHei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3"/>
        </w:rPr>
        <w:t>不完整版</w:t>
      </w:r>
      <w:r>
        <w:rPr>
          <w:rFonts w:ascii="Arial" w:hAnsi="Arial" w:eastAsia="Arial" w:cs="Arial"/>
          <w:sz w:val="23"/>
          <w:szCs w:val="23"/>
          <w:b/>
          <w:bCs/>
          <w:spacing w:val="9"/>
          <w:position w:val="3"/>
        </w:rPr>
        <w:t>)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137"/>
        <w:spacing w:before="65" w:line="347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7"/>
        </w:rPr>
        <w:t>1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[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单选题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]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下列关于隧道施工说法正确的是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()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。</w:t>
      </w:r>
    </w:p>
    <w:p>
      <w:pPr>
        <w:ind w:left="17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13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>暗河段应该以堵排为主</w:t>
      </w:r>
    </w:p>
    <w:p>
      <w:pPr>
        <w:ind w:left="31"/>
        <w:spacing w:before="63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B</w:t>
      </w:r>
      <w:r>
        <w:rPr>
          <w:rFonts w:ascii="Calibri" w:hAnsi="Calibri" w:eastAsia="Calibri" w:cs="Calibri"/>
          <w:sz w:val="20"/>
          <w:szCs w:val="20"/>
          <w:spacing w:val="6"/>
          <w:position w:val="7"/>
        </w:rPr>
        <w:t>.</w:t>
      </w:r>
      <w:r>
        <w:rPr>
          <w:rFonts w:ascii="Calibri" w:hAnsi="Calibri" w:eastAsia="Calibri" w:cs="Calibri"/>
          <w:sz w:val="20"/>
          <w:szCs w:val="20"/>
          <w:spacing w:val="6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7"/>
        </w:rPr>
        <w:t>隧道爆破施工应执行“一炮三检”制</w:t>
      </w:r>
      <w:r>
        <w:rPr>
          <w:rFonts w:ascii="SimSun" w:hAnsi="SimSun" w:eastAsia="SimSun" w:cs="SimSun"/>
          <w:sz w:val="20"/>
          <w:szCs w:val="20"/>
          <w:spacing w:val="4"/>
          <w:position w:val="7"/>
        </w:rPr>
        <w:t>度</w:t>
      </w:r>
    </w:p>
    <w:p>
      <w:pPr>
        <w:ind w:left="23"/>
        <w:spacing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13"/>
        </w:rPr>
        <w:t>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岩爆隧道采用预裂爆破</w:t>
      </w:r>
    </w:p>
    <w:p>
      <w:pPr>
        <w:ind w:left="31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D</w:t>
      </w:r>
      <w:r>
        <w:rPr>
          <w:rFonts w:ascii="Calibri" w:hAnsi="Calibri" w:eastAsia="Calibri" w:cs="Calibri"/>
          <w:sz w:val="20"/>
          <w:szCs w:val="20"/>
          <w:spacing w:val="9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溶洞位于隧道一侧时先后开挖另一侧，等支护完成后再开挖有溶洞一</w:t>
      </w:r>
      <w:r>
        <w:rPr>
          <w:rFonts w:ascii="Calibri" w:hAnsi="Calibri" w:eastAsia="Calibri" w:cs="Calibri"/>
          <w:sz w:val="20"/>
          <w:szCs w:val="20"/>
          <w:spacing w:val="9"/>
          <w:position w:val="7"/>
        </w:rPr>
        <w:t>-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侧</w:t>
      </w:r>
    </w:p>
    <w:p>
      <w:pPr>
        <w:ind w:left="22"/>
        <w:spacing w:before="1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答</w:t>
      </w:r>
      <w:r>
        <w:rPr>
          <w:rFonts w:ascii="SimSun" w:hAnsi="SimSun" w:eastAsia="SimSun" w:cs="SimSun"/>
          <w:sz w:val="20"/>
          <w:szCs w:val="20"/>
          <w:spacing w:val="12"/>
        </w:rPr>
        <w:t>案：</w:t>
      </w:r>
      <w:r>
        <w:rPr>
          <w:rFonts w:ascii="Calibri" w:hAnsi="Calibri" w:eastAsia="Calibri" w:cs="Calibri"/>
          <w:sz w:val="20"/>
          <w:szCs w:val="20"/>
        </w:rPr>
        <w:t>B</w:t>
      </w:r>
    </w:p>
    <w:p>
      <w:pPr>
        <w:ind w:left="21" w:right="1232"/>
        <w:spacing w:before="64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解析</w:t>
      </w:r>
      <w:r>
        <w:rPr>
          <w:rFonts w:ascii="Calibri" w:hAnsi="Calibri" w:eastAsia="Calibri" w:cs="Calibri"/>
          <w:sz w:val="20"/>
          <w:szCs w:val="20"/>
          <w:spacing w:val="8"/>
        </w:rPr>
        <w:t>: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选项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错误，暗河段施工，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以排为主，不得进行封堵，造成排水受阻</w:t>
      </w:r>
      <w:r>
        <w:rPr>
          <w:rFonts w:ascii="Calibri" w:hAnsi="Calibri" w:eastAsia="Calibri" w:cs="Calibri"/>
          <w:sz w:val="20"/>
          <w:szCs w:val="20"/>
          <w:spacing w:val="8"/>
        </w:rPr>
        <w:t>,</w:t>
      </w:r>
      <w:r>
        <w:rPr>
          <w:rFonts w:ascii="SimSun" w:hAnsi="SimSun" w:eastAsia="SimSun" w:cs="SimSun"/>
          <w:sz w:val="20"/>
          <w:szCs w:val="20"/>
          <w:spacing w:val="8"/>
        </w:rPr>
        <w:t>增大对正洞</w:t>
      </w:r>
      <w:r>
        <w:rPr>
          <w:rFonts w:ascii="SimSun" w:hAnsi="SimSun" w:eastAsia="SimSun" w:cs="SimSun"/>
          <w:sz w:val="20"/>
          <w:szCs w:val="20"/>
        </w:rPr>
        <w:t>衬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砌压力。</w:t>
      </w:r>
    </w:p>
    <w:p>
      <w:pPr>
        <w:ind w:left="22" w:right="1232" w:hanging="1"/>
        <w:spacing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选</w:t>
      </w:r>
      <w:r>
        <w:rPr>
          <w:rFonts w:ascii="SimSun" w:hAnsi="SimSun" w:eastAsia="SimSun" w:cs="SimSun"/>
          <w:sz w:val="20"/>
          <w:szCs w:val="20"/>
          <w:spacing w:val="8"/>
        </w:rPr>
        <w:t>项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正确，瓦斯工区爆破工作应由专职爆破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担任</w:t>
      </w:r>
      <w:r>
        <w:rPr>
          <w:rFonts w:ascii="Calibri" w:hAnsi="Calibri" w:eastAsia="Calibri" w:cs="Calibri"/>
          <w:sz w:val="20"/>
          <w:szCs w:val="20"/>
          <w:spacing w:val="8"/>
        </w:rPr>
        <w:t>,</w:t>
      </w:r>
      <w:r>
        <w:rPr>
          <w:rFonts w:ascii="SimSun" w:hAnsi="SimSun" w:eastAsia="SimSun" w:cs="SimSun"/>
          <w:sz w:val="20"/>
          <w:szCs w:val="20"/>
          <w:spacing w:val="8"/>
        </w:rPr>
        <w:t>爆破作业必须执行</w:t>
      </w:r>
      <w:r>
        <w:rPr>
          <w:rFonts w:ascii="Calibri" w:hAnsi="Calibri" w:eastAsia="Calibri" w:cs="Calibri"/>
          <w:sz w:val="20"/>
          <w:szCs w:val="20"/>
          <w:spacing w:val="8"/>
        </w:rPr>
        <w:t>"</w:t>
      </w:r>
      <w:r>
        <w:rPr>
          <w:rFonts w:ascii="SimSun" w:hAnsi="SimSun" w:eastAsia="SimSun" w:cs="SimSun"/>
          <w:sz w:val="20"/>
          <w:szCs w:val="20"/>
          <w:spacing w:val="8"/>
        </w:rPr>
        <w:t>一炮三检</w:t>
      </w:r>
      <w:r>
        <w:rPr>
          <w:rFonts w:ascii="Calibri" w:hAnsi="Calibri" w:eastAsia="Calibri" w:cs="Calibri"/>
          <w:sz w:val="20"/>
          <w:szCs w:val="20"/>
          <w:spacing w:val="8"/>
        </w:rPr>
        <w:t>"</w:t>
      </w:r>
      <w:r>
        <w:rPr>
          <w:rFonts w:ascii="SimSun" w:hAnsi="SimSun" w:eastAsia="SimSun" w:cs="SimSun"/>
          <w:sz w:val="20"/>
          <w:szCs w:val="20"/>
          <w:spacing w:val="8"/>
        </w:rPr>
        <w:t>和</w:t>
      </w:r>
      <w:r>
        <w:rPr>
          <w:rFonts w:ascii="Calibri" w:hAnsi="Calibri" w:eastAsia="Calibri" w:cs="Calibri"/>
          <w:sz w:val="20"/>
          <w:szCs w:val="20"/>
          <w:spacing w:val="8"/>
        </w:rPr>
        <w:t>"</w:t>
      </w:r>
      <w:r>
        <w:rPr>
          <w:rFonts w:ascii="SimSun" w:hAnsi="SimSun" w:eastAsia="SimSun" w:cs="SimSun"/>
          <w:sz w:val="20"/>
          <w:szCs w:val="20"/>
          <w:spacing w:val="8"/>
        </w:rPr>
        <w:t>三人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连</w:t>
      </w:r>
      <w:r>
        <w:rPr>
          <w:rFonts w:ascii="SimSun" w:hAnsi="SimSun" w:eastAsia="SimSun" w:cs="SimSun"/>
          <w:sz w:val="20"/>
          <w:szCs w:val="20"/>
          <w:spacing w:val="6"/>
        </w:rPr>
        <w:t>锁爆破</w:t>
      </w:r>
      <w:r>
        <w:rPr>
          <w:rFonts w:ascii="Calibri" w:hAnsi="Calibri" w:eastAsia="Calibri" w:cs="Calibri"/>
          <w:sz w:val="20"/>
          <w:szCs w:val="20"/>
          <w:spacing w:val="6"/>
        </w:rPr>
        <w:t>"</w:t>
      </w:r>
      <w:r>
        <w:rPr>
          <w:rFonts w:ascii="SimSun" w:hAnsi="SimSun" w:eastAsia="SimSun" w:cs="SimSun"/>
          <w:sz w:val="20"/>
          <w:szCs w:val="20"/>
          <w:spacing w:val="6"/>
        </w:rPr>
        <w:t>制度。</w:t>
      </w:r>
    </w:p>
    <w:p>
      <w:pPr>
        <w:ind w:left="24" w:right="1234" w:hanging="3"/>
        <w:spacing w:before="3" w:line="2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选项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错误，岩爆隧道应采用光面爆破技术，使隧道周边圆顺，减少应力集中</w:t>
      </w:r>
      <w:r>
        <w:rPr>
          <w:rFonts w:ascii="Calibri" w:hAnsi="Calibri" w:eastAsia="Calibri" w:cs="Calibri"/>
          <w:sz w:val="20"/>
          <w:szCs w:val="20"/>
          <w:spacing w:val="9"/>
        </w:rPr>
        <w:t>;</w:t>
      </w:r>
      <w:r>
        <w:rPr>
          <w:rFonts w:ascii="SimSun" w:hAnsi="SimSun" w:eastAsia="SimSun" w:cs="SimSun"/>
          <w:sz w:val="20"/>
          <w:szCs w:val="20"/>
          <w:spacing w:val="9"/>
        </w:rPr>
        <w:t>严格控制装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药量，减少对围岩扰动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21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选项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错</w:t>
      </w:r>
      <w:r>
        <w:rPr>
          <w:rFonts w:ascii="SimSun" w:hAnsi="SimSun" w:eastAsia="SimSun" w:cs="SimSun"/>
          <w:sz w:val="20"/>
          <w:szCs w:val="20"/>
          <w:spacing w:val="7"/>
        </w:rPr>
        <w:t>误，溶洞位于隧道一侧时</w:t>
      </w:r>
      <w:r>
        <w:rPr>
          <w:rFonts w:ascii="Calibri" w:hAnsi="Calibri" w:eastAsia="Calibri" w:cs="Calibri"/>
          <w:sz w:val="20"/>
          <w:szCs w:val="20"/>
          <w:spacing w:val="7"/>
        </w:rPr>
        <w:t>,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应先开挖该侧，等支护完成后再开挖另一侧。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left="25"/>
        <w:spacing w:before="66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  <w:position w:val="2"/>
        </w:rPr>
        <w:t>2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]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影响混凝土凝结时间的因素有水泥的品种和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()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。</w:t>
      </w:r>
    </w:p>
    <w:p>
      <w:pPr>
        <w:ind w:left="17"/>
        <w:spacing w:before="68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A</w:t>
      </w:r>
      <w:r>
        <w:rPr>
          <w:rFonts w:ascii="Calibri" w:hAnsi="Calibri" w:eastAsia="Calibri" w:cs="Calibri"/>
          <w:sz w:val="20"/>
          <w:szCs w:val="20"/>
          <w:spacing w:val="11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水泥用量</w:t>
      </w:r>
    </w:p>
    <w:p>
      <w:pPr>
        <w:ind w:left="31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水泥细度</w:t>
      </w:r>
    </w:p>
    <w:p>
      <w:pPr>
        <w:ind w:left="23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外加剂种类</w:t>
      </w:r>
    </w:p>
    <w:p>
      <w:pPr>
        <w:ind w:left="3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水灰</w:t>
      </w:r>
      <w:r>
        <w:rPr>
          <w:rFonts w:ascii="SimSun" w:hAnsi="SimSun" w:eastAsia="SimSun" w:cs="SimSun"/>
          <w:sz w:val="20"/>
          <w:szCs w:val="20"/>
          <w:spacing w:val="3"/>
        </w:rPr>
        <w:t>比</w:t>
      </w:r>
    </w:p>
    <w:p>
      <w:pPr>
        <w:ind w:left="22"/>
        <w:spacing w:before="66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答案：</w:t>
      </w:r>
      <w:r>
        <w:rPr>
          <w:rFonts w:ascii="Calibri" w:hAnsi="Calibri" w:eastAsia="Calibri" w:cs="Calibri"/>
          <w:sz w:val="20"/>
          <w:szCs w:val="20"/>
        </w:rPr>
        <w:t>C</w:t>
      </w:r>
    </w:p>
    <w:p>
      <w:pPr>
        <w:ind w:left="21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解析</w:t>
      </w:r>
      <w:r>
        <w:rPr>
          <w:rFonts w:ascii="Calibri" w:hAnsi="Calibri" w:eastAsia="Calibri" w:cs="Calibri"/>
          <w:sz w:val="20"/>
          <w:szCs w:val="20"/>
          <w:spacing w:val="16"/>
        </w:rPr>
        <w:t>: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混凝土的凝结时间</w:t>
      </w:r>
      <w:r>
        <w:rPr>
          <w:rFonts w:ascii="Calibri" w:hAnsi="Calibri" w:eastAsia="Calibri" w:cs="Calibri"/>
          <w:sz w:val="20"/>
          <w:szCs w:val="20"/>
          <w:spacing w:val="8"/>
        </w:rPr>
        <w:t>:</w:t>
      </w:r>
      <w:r>
        <w:rPr>
          <w:rFonts w:ascii="SimSun" w:hAnsi="SimSun" w:eastAsia="SimSun" w:cs="SimSun"/>
          <w:sz w:val="20"/>
          <w:szCs w:val="20"/>
          <w:spacing w:val="8"/>
        </w:rPr>
        <w:t>主要影响因素是水泥品种及外加剂的种类。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24"/>
        <w:spacing w:before="65" w:line="280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3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混凝土试件的压实试验数据分别为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36</w:t>
      </w:r>
      <w:r>
        <w:rPr>
          <w:rFonts w:ascii="Calibri" w:hAnsi="Calibri" w:eastAsia="Calibri" w:cs="Calibri"/>
          <w:sz w:val="20"/>
          <w:szCs w:val="20"/>
          <w:position w:val="2"/>
        </w:rPr>
        <w:t>MPa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、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40</w:t>
      </w:r>
      <w:r>
        <w:rPr>
          <w:rFonts w:ascii="Calibri" w:hAnsi="Calibri" w:eastAsia="Calibri" w:cs="Calibri"/>
          <w:sz w:val="20"/>
          <w:szCs w:val="20"/>
          <w:position w:val="2"/>
        </w:rPr>
        <w:t>MPa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、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42</w:t>
      </w:r>
      <w:r>
        <w:rPr>
          <w:rFonts w:ascii="Calibri" w:hAnsi="Calibri" w:eastAsia="Calibri" w:cs="Calibri"/>
          <w:sz w:val="20"/>
          <w:szCs w:val="20"/>
          <w:position w:val="2"/>
        </w:rPr>
        <w:t>MPa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,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该组试块强度为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)</w:t>
      </w:r>
    </w:p>
    <w:p>
      <w:pPr>
        <w:ind w:left="31"/>
        <w:spacing w:before="113" w:line="307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  <w:position w:val="12"/>
        </w:rPr>
        <w:t>M</w:t>
      </w:r>
      <w:r>
        <w:rPr>
          <w:rFonts w:ascii="Calibri" w:hAnsi="Calibri" w:eastAsia="Calibri" w:cs="Calibri"/>
          <w:sz w:val="20"/>
          <w:szCs w:val="20"/>
          <w:position w:val="12"/>
        </w:rPr>
        <w:t>Pa</w:t>
      </w:r>
      <w:r>
        <w:rPr>
          <w:rFonts w:ascii="SimSun" w:hAnsi="SimSun" w:eastAsia="SimSun" w:cs="SimSun"/>
          <w:sz w:val="20"/>
          <w:szCs w:val="20"/>
          <w:spacing w:val="-1"/>
          <w:position w:val="12"/>
        </w:rPr>
        <w:t>。</w:t>
      </w:r>
    </w:p>
    <w:p>
      <w:pPr>
        <w:ind w:left="17"/>
        <w:spacing w:before="1" w:line="187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  <w:r>
        <w:rPr>
          <w:rFonts w:ascii="Calibri" w:hAnsi="Calibri" w:eastAsia="Calibri" w:cs="Calibri"/>
          <w:sz w:val="20"/>
          <w:szCs w:val="20"/>
          <w:spacing w:val="4"/>
        </w:rPr>
        <w:t>36</w:t>
      </w:r>
    </w:p>
    <w:p>
      <w:pPr>
        <w:ind w:left="31"/>
        <w:spacing w:before="121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2"/>
        </w:rPr>
        <w:t>B</w:t>
      </w:r>
      <w:r>
        <w:rPr>
          <w:rFonts w:ascii="Calibri" w:hAnsi="Calibri" w:eastAsia="Calibri" w:cs="Calibri"/>
          <w:sz w:val="20"/>
          <w:szCs w:val="20"/>
          <w:spacing w:val="4"/>
          <w:position w:val="12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2"/>
        </w:rPr>
        <w:t>39.3</w:t>
      </w:r>
    </w:p>
    <w:p>
      <w:pPr>
        <w:ind w:left="23"/>
        <w:spacing w:before="1" w:line="18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</w:rPr>
        <w:t>40</w:t>
      </w:r>
    </w:p>
    <w:p>
      <w:pPr>
        <w:ind w:left="31"/>
        <w:spacing w:before="122" w:line="187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D</w:t>
      </w:r>
      <w:r>
        <w:rPr>
          <w:rFonts w:ascii="Calibri" w:hAnsi="Calibri" w:eastAsia="Calibri" w:cs="Calibri"/>
          <w:sz w:val="20"/>
          <w:szCs w:val="20"/>
          <w:spacing w:val="-2"/>
        </w:rPr>
        <w:t>.</w:t>
      </w:r>
      <w:r>
        <w:rPr>
          <w:rFonts w:ascii="Calibri" w:hAnsi="Calibri" w:eastAsia="Calibri" w:cs="Calibri"/>
          <w:sz w:val="20"/>
          <w:szCs w:val="20"/>
          <w:spacing w:val="-1"/>
        </w:rPr>
        <w:t>42</w:t>
      </w:r>
    </w:p>
    <w:p>
      <w:pPr>
        <w:ind w:left="22"/>
        <w:spacing w:before="81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答</w:t>
      </w:r>
      <w:r>
        <w:rPr>
          <w:rFonts w:ascii="SimSun" w:hAnsi="SimSun" w:eastAsia="SimSun" w:cs="SimSun"/>
          <w:sz w:val="20"/>
          <w:szCs w:val="20"/>
          <w:spacing w:val="12"/>
        </w:rPr>
        <w:t>案：</w:t>
      </w:r>
      <w:r>
        <w:rPr>
          <w:rFonts w:ascii="Calibri" w:hAnsi="Calibri" w:eastAsia="Calibri" w:cs="Calibri"/>
          <w:sz w:val="20"/>
          <w:szCs w:val="20"/>
        </w:rPr>
        <w:t>B</w:t>
      </w:r>
    </w:p>
    <w:p>
      <w:pPr>
        <w:ind w:left="23" w:right="1235" w:hanging="2"/>
        <w:spacing w:before="65" w:line="27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解</w:t>
      </w:r>
      <w:r>
        <w:rPr>
          <w:rFonts w:ascii="SimSun" w:hAnsi="SimSun" w:eastAsia="SimSun" w:cs="SimSun"/>
          <w:sz w:val="20"/>
          <w:szCs w:val="20"/>
          <w:spacing w:val="11"/>
        </w:rPr>
        <w:t>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11"/>
        </w:rPr>
        <w:t>混凝士的立方体抗压强度试验应根据现行国家标准《混凝土物理力学性能试验方法标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准》</w:t>
      </w:r>
      <w:r>
        <w:rPr>
          <w:rFonts w:ascii="Calibri" w:hAnsi="Calibri" w:eastAsia="Calibri" w:cs="Calibri"/>
          <w:sz w:val="20"/>
          <w:szCs w:val="20"/>
        </w:rPr>
        <w:t>GB</w:t>
      </w:r>
      <w:r>
        <w:rPr>
          <w:rFonts w:ascii="Calibri" w:hAnsi="Calibri" w:eastAsia="Calibri" w:cs="Calibri"/>
          <w:sz w:val="20"/>
          <w:szCs w:val="20"/>
          <w:spacing w:val="12"/>
        </w:rPr>
        <w:t>/</w:t>
      </w:r>
      <w:r>
        <w:rPr>
          <w:rFonts w:ascii="Calibri" w:hAnsi="Calibri" w:eastAsia="Calibri" w:cs="Calibri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50081-2019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的规定执行。每组混凝土试件强度代表值的确定，应符合下列规定</w:t>
      </w:r>
      <w:r>
        <w:rPr>
          <w:rFonts w:ascii="Calibri" w:hAnsi="Calibri" w:eastAsia="Calibri" w:cs="Calibri"/>
          <w:sz w:val="20"/>
          <w:szCs w:val="20"/>
          <w:spacing w:val="8"/>
        </w:rPr>
        <w:t>:</w:t>
      </w:r>
    </w:p>
    <w:p>
      <w:pPr>
        <w:ind w:left="27"/>
        <w:spacing w:before="1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13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取三个试件强度的算术平均值作为该组试件的强度代表值。</w:t>
      </w:r>
    </w:p>
    <w:p>
      <w:pPr>
        <w:ind w:left="24" w:right="1230" w:firstLine="2"/>
        <w:spacing w:before="32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(2)</w:t>
      </w:r>
      <w:r>
        <w:rPr>
          <w:rFonts w:ascii="SimSun" w:hAnsi="SimSun" w:eastAsia="SimSun" w:cs="SimSun"/>
          <w:sz w:val="20"/>
          <w:szCs w:val="20"/>
          <w:spacing w:val="10"/>
        </w:rPr>
        <w:t>当</w:t>
      </w:r>
      <w:r>
        <w:rPr>
          <w:rFonts w:ascii="Calibri" w:hAnsi="Calibri" w:eastAsia="Calibri" w:cs="Calibri"/>
          <w:sz w:val="20"/>
          <w:szCs w:val="20"/>
          <w:spacing w:val="10"/>
        </w:rPr>
        <w:t>-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-</w:t>
      </w:r>
      <w:r>
        <w:rPr>
          <w:rFonts w:ascii="SimSun" w:hAnsi="SimSun" w:eastAsia="SimSun" w:cs="SimSun"/>
          <w:sz w:val="20"/>
          <w:szCs w:val="20"/>
          <w:spacing w:val="5"/>
        </w:rPr>
        <w:t>组试件中强度的最大值或最小值与中间值之差超过中间值的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15%</w:t>
      </w:r>
      <w:r>
        <w:rPr>
          <w:rFonts w:ascii="SimSun" w:hAnsi="SimSun" w:eastAsia="SimSun" w:cs="SimSun"/>
          <w:sz w:val="20"/>
          <w:szCs w:val="20"/>
          <w:spacing w:val="5"/>
        </w:rPr>
        <w:t>时，取中间值做为该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组试件的强度代表值</w:t>
      </w:r>
      <w:r>
        <w:rPr>
          <w:rFonts w:ascii="SimSun" w:hAnsi="SimSun" w:eastAsia="SimSun" w:cs="SimSun"/>
          <w:sz w:val="20"/>
          <w:szCs w:val="20"/>
          <w:spacing w:val="6"/>
        </w:rPr>
        <w:t>。</w:t>
      </w:r>
    </w:p>
    <w:p>
      <w:pPr>
        <w:ind w:left="27" w:right="1230"/>
        <w:spacing w:before="29" w:line="28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</w:rPr>
        <w:t>(3)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当一组试件中强度的最大值和最小值与中间值之差均超过中间值的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>15%</w:t>
      </w:r>
      <w:r>
        <w:rPr>
          <w:rFonts w:ascii="SimSun" w:hAnsi="SimSun" w:eastAsia="SimSun" w:cs="SimSun"/>
          <w:sz w:val="20"/>
          <w:szCs w:val="20"/>
          <w:spacing w:val="7"/>
        </w:rPr>
        <w:t>时，该组试件的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强</w:t>
      </w:r>
      <w:r>
        <w:rPr>
          <w:rFonts w:ascii="SimSun" w:hAnsi="SimSun" w:eastAsia="SimSun" w:cs="SimSun"/>
          <w:sz w:val="20"/>
          <w:szCs w:val="20"/>
          <w:spacing w:val="8"/>
        </w:rPr>
        <w:t>度不应做为评定的依据。根据题干</w:t>
      </w:r>
      <w:r>
        <w:rPr>
          <w:rFonts w:ascii="Calibri" w:hAnsi="Calibri" w:eastAsia="Calibri" w:cs="Calibri"/>
          <w:sz w:val="20"/>
          <w:szCs w:val="20"/>
          <w:spacing w:val="8"/>
        </w:rPr>
        <w:t>,</w:t>
      </w:r>
      <w:r>
        <w:rPr>
          <w:rFonts w:ascii="SimSun" w:hAnsi="SimSun" w:eastAsia="SimSun" w:cs="SimSun"/>
          <w:sz w:val="20"/>
          <w:szCs w:val="20"/>
          <w:spacing w:val="8"/>
        </w:rPr>
        <w:t>最大值和最小值均不超过中间值的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15%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，取三个试件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强度的算</w:t>
      </w:r>
      <w:r>
        <w:rPr>
          <w:rFonts w:ascii="SimSun" w:hAnsi="SimSun" w:eastAsia="SimSun" w:cs="SimSun"/>
          <w:sz w:val="20"/>
          <w:szCs w:val="20"/>
          <w:spacing w:val="8"/>
        </w:rPr>
        <w:t>术</w:t>
      </w:r>
      <w:r>
        <w:rPr>
          <w:rFonts w:ascii="SimSun" w:hAnsi="SimSun" w:eastAsia="SimSun" w:cs="SimSun"/>
          <w:sz w:val="20"/>
          <w:szCs w:val="20"/>
          <w:spacing w:val="7"/>
        </w:rPr>
        <w:t>平均值作为该组试件的强度代表值。即</w:t>
      </w:r>
      <w:r>
        <w:rPr>
          <w:rFonts w:ascii="Calibri" w:hAnsi="Calibri" w:eastAsia="Calibri" w:cs="Calibri"/>
          <w:sz w:val="20"/>
          <w:szCs w:val="20"/>
          <w:spacing w:val="7"/>
        </w:rPr>
        <w:t>(36+40+42)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>/3=39.3</w:t>
      </w:r>
      <w:r>
        <w:rPr>
          <w:rFonts w:ascii="Calibri" w:hAnsi="Calibri" w:eastAsia="Calibri" w:cs="Calibri"/>
          <w:sz w:val="20"/>
          <w:szCs w:val="20"/>
        </w:rPr>
        <w:t>MPa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8"/>
        <w:spacing w:before="66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4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路基填筑工艺性试验，试验段长度为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()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m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。</w:t>
      </w:r>
    </w:p>
    <w:p>
      <w:pPr>
        <w:ind w:left="17"/>
        <w:spacing w:before="108" w:line="18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  <w:r>
        <w:rPr>
          <w:rFonts w:ascii="Calibri" w:hAnsi="Calibri" w:eastAsia="Calibri" w:cs="Calibri"/>
          <w:sz w:val="20"/>
          <w:szCs w:val="20"/>
          <w:spacing w:val="4"/>
        </w:rPr>
        <w:t>30</w:t>
      </w:r>
    </w:p>
    <w:p>
      <w:pPr>
        <w:sectPr>
          <w:headerReference w:type="default" r:id="rId1"/>
          <w:footerReference w:type="default" r:id="rId2"/>
          <w:pgSz w:w="11906" w:h="16839"/>
          <w:pgMar w:top="400" w:right="566" w:bottom="1769" w:left="1785" w:header="0" w:footer="1579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3"/>
        <w:spacing w:before="61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2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12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12"/>
        </w:rPr>
        <w:t>100</w:t>
      </w:r>
    </w:p>
    <w:p>
      <w:pPr>
        <w:ind w:left="31"/>
        <w:spacing w:line="18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-1"/>
        </w:rPr>
        <w:t>.</w:t>
      </w:r>
      <w:r>
        <w:rPr>
          <w:rFonts w:ascii="Calibri" w:hAnsi="Calibri" w:eastAsia="Calibri" w:cs="Calibri"/>
          <w:sz w:val="20"/>
          <w:szCs w:val="20"/>
        </w:rPr>
        <w:t>200</w:t>
      </w:r>
    </w:p>
    <w:p>
      <w:pPr>
        <w:ind w:left="22"/>
        <w:spacing w:before="79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答案：</w:t>
      </w:r>
      <w:r>
        <w:rPr>
          <w:rFonts w:ascii="Calibri" w:hAnsi="Calibri" w:eastAsia="Calibri" w:cs="Calibri"/>
          <w:sz w:val="20"/>
          <w:szCs w:val="20"/>
        </w:rPr>
        <w:t>C</w:t>
      </w:r>
    </w:p>
    <w:p>
      <w:pPr>
        <w:ind w:left="21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解析</w:t>
      </w:r>
      <w:r>
        <w:rPr>
          <w:rFonts w:ascii="Calibri" w:hAnsi="Calibri" w:eastAsia="Calibri" w:cs="Calibri"/>
          <w:sz w:val="20"/>
          <w:szCs w:val="20"/>
          <w:spacing w:val="14"/>
        </w:rPr>
        <w:t>: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路基填筑试验段长度不宜小于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>100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20"/>
          <w:szCs w:val="20"/>
          <w:spacing w:val="7"/>
        </w:rPr>
        <w:t>,</w:t>
      </w:r>
      <w:r>
        <w:rPr>
          <w:rFonts w:ascii="SimSun" w:hAnsi="SimSun" w:eastAsia="SimSun" w:cs="SimSun"/>
          <w:sz w:val="20"/>
          <w:szCs w:val="20"/>
          <w:spacing w:val="7"/>
        </w:rPr>
        <w:t>各种型式的过渡段应分别进行填筑工艺试验。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left="24"/>
        <w:spacing w:before="65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5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]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组合体系拱桥的主要承重结构是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()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。</w:t>
      </w:r>
    </w:p>
    <w:p>
      <w:pPr>
        <w:ind w:left="17"/>
        <w:spacing w:before="67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A</w:t>
      </w:r>
      <w:r>
        <w:rPr>
          <w:rFonts w:ascii="Calibri" w:hAnsi="Calibri" w:eastAsia="Calibri" w:cs="Calibri"/>
          <w:sz w:val="20"/>
          <w:szCs w:val="20"/>
          <w:spacing w:val="11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梁和吊柱</w:t>
      </w:r>
    </w:p>
    <w:p>
      <w:pPr>
        <w:ind w:left="31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拱和梁</w:t>
      </w:r>
    </w:p>
    <w:p>
      <w:pPr>
        <w:ind w:left="23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拱和吊</w:t>
      </w:r>
      <w:r>
        <w:rPr>
          <w:rFonts w:ascii="SimSun" w:hAnsi="SimSun" w:eastAsia="SimSun" w:cs="SimSun"/>
          <w:sz w:val="20"/>
          <w:szCs w:val="20"/>
          <w:spacing w:val="6"/>
        </w:rPr>
        <w:t>柱</w:t>
      </w:r>
    </w:p>
    <w:p>
      <w:pPr>
        <w:ind w:left="31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梁和立</w:t>
      </w:r>
      <w:r>
        <w:rPr>
          <w:rFonts w:ascii="SimSun" w:hAnsi="SimSun" w:eastAsia="SimSun" w:cs="SimSun"/>
          <w:sz w:val="20"/>
          <w:szCs w:val="20"/>
          <w:spacing w:val="4"/>
        </w:rPr>
        <w:t>柱</w:t>
      </w:r>
    </w:p>
    <w:p>
      <w:pPr>
        <w:ind w:left="22"/>
        <w:spacing w:before="66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答</w:t>
      </w:r>
      <w:r>
        <w:rPr>
          <w:rFonts w:ascii="SimSun" w:hAnsi="SimSun" w:eastAsia="SimSun" w:cs="SimSun"/>
          <w:sz w:val="20"/>
          <w:szCs w:val="20"/>
          <w:spacing w:val="12"/>
        </w:rPr>
        <w:t>案：</w:t>
      </w:r>
      <w:r>
        <w:rPr>
          <w:rFonts w:ascii="Calibri" w:hAnsi="Calibri" w:eastAsia="Calibri" w:cs="Calibri"/>
          <w:sz w:val="20"/>
          <w:szCs w:val="20"/>
        </w:rPr>
        <w:t>B</w:t>
      </w:r>
    </w:p>
    <w:p>
      <w:pPr>
        <w:ind w:left="25" w:right="1164" w:hanging="4"/>
        <w:spacing w:before="64" w:line="30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解析</w:t>
      </w:r>
      <w:r>
        <w:rPr>
          <w:rFonts w:ascii="Calibri" w:hAnsi="Calibri" w:eastAsia="Calibri" w:cs="Calibri"/>
          <w:sz w:val="20"/>
          <w:szCs w:val="20"/>
          <w:spacing w:val="5"/>
        </w:rPr>
        <w:t>:</w:t>
      </w:r>
      <w:r>
        <w:rPr>
          <w:rFonts w:ascii="SimSun" w:hAnsi="SimSun" w:eastAsia="SimSun" w:cs="SimSun"/>
          <w:sz w:val="20"/>
          <w:szCs w:val="20"/>
          <w:spacing w:val="5"/>
        </w:rPr>
        <w:t>组合体系式拱桥</w:t>
      </w:r>
      <w:r>
        <w:rPr>
          <w:rFonts w:ascii="Calibri" w:hAnsi="Calibri" w:eastAsia="Calibri" w:cs="Calibri"/>
          <w:sz w:val="20"/>
          <w:szCs w:val="20"/>
          <w:spacing w:val="5"/>
        </w:rPr>
        <w:t>: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由拱和梁组成主要承重结构的拱桥。通常用钢筋混凝土或钢结构建造。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兼</w:t>
      </w:r>
      <w:r>
        <w:rPr>
          <w:rFonts w:ascii="SimSun" w:hAnsi="SimSun" w:eastAsia="SimSun" w:cs="SimSun"/>
          <w:sz w:val="20"/>
          <w:szCs w:val="20"/>
          <w:spacing w:val="13"/>
        </w:rPr>
        <w:t>有</w:t>
      </w:r>
      <w:r>
        <w:rPr>
          <w:rFonts w:ascii="SimSun" w:hAnsi="SimSun" w:eastAsia="SimSun" w:cs="SimSun"/>
          <w:sz w:val="20"/>
          <w:szCs w:val="20"/>
          <w:spacing w:val="9"/>
        </w:rPr>
        <w:t>实腹式拱桥和空腹式拱桥的优点，跨越能力较大。一般用在大、中跨度的桥梁中。</w:t>
      </w:r>
    </w:p>
    <w:p>
      <w:pPr>
        <w:ind w:left="24"/>
        <w:spacing w:before="249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6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不定期复测维护由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()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单位负责组织实施。</w:t>
      </w:r>
    </w:p>
    <w:p>
      <w:pPr>
        <w:ind w:left="17"/>
        <w:spacing w:before="67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A</w:t>
      </w:r>
      <w:r>
        <w:rPr>
          <w:rFonts w:ascii="Calibri" w:hAnsi="Calibri" w:eastAsia="Calibri" w:cs="Calibri"/>
          <w:sz w:val="20"/>
          <w:szCs w:val="20"/>
          <w:spacing w:val="11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建设单位</w:t>
      </w:r>
    </w:p>
    <w:p>
      <w:pPr>
        <w:ind w:left="31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施工单位</w:t>
      </w:r>
    </w:p>
    <w:p>
      <w:pPr>
        <w:ind w:left="2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设计单</w:t>
      </w:r>
      <w:r>
        <w:rPr>
          <w:rFonts w:ascii="SimSun" w:hAnsi="SimSun" w:eastAsia="SimSun" w:cs="SimSun"/>
          <w:sz w:val="20"/>
          <w:szCs w:val="20"/>
          <w:spacing w:val="6"/>
        </w:rPr>
        <w:t>位</w:t>
      </w:r>
    </w:p>
    <w:p>
      <w:pPr>
        <w:ind w:left="3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监理单</w:t>
      </w:r>
      <w:r>
        <w:rPr>
          <w:rFonts w:ascii="SimSun" w:hAnsi="SimSun" w:eastAsia="SimSun" w:cs="SimSun"/>
          <w:sz w:val="20"/>
          <w:szCs w:val="20"/>
          <w:spacing w:val="4"/>
        </w:rPr>
        <w:t>位</w:t>
      </w:r>
    </w:p>
    <w:p>
      <w:pPr>
        <w:ind w:left="22"/>
        <w:spacing w:before="65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答</w:t>
      </w:r>
      <w:r>
        <w:rPr>
          <w:rFonts w:ascii="SimSun" w:hAnsi="SimSun" w:eastAsia="SimSun" w:cs="SimSun"/>
          <w:sz w:val="20"/>
          <w:szCs w:val="20"/>
          <w:spacing w:val="12"/>
        </w:rPr>
        <w:t>案：</w:t>
      </w:r>
      <w:r>
        <w:rPr>
          <w:rFonts w:ascii="Calibri" w:hAnsi="Calibri" w:eastAsia="Calibri" w:cs="Calibri"/>
          <w:sz w:val="20"/>
          <w:szCs w:val="20"/>
        </w:rPr>
        <w:t>B</w:t>
      </w:r>
    </w:p>
    <w:p>
      <w:pPr>
        <w:ind w:left="22" w:right="1235" w:hanging="1"/>
        <w:spacing w:before="65" w:line="29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解</w:t>
      </w:r>
      <w:r>
        <w:rPr>
          <w:rFonts w:ascii="SimSun" w:hAnsi="SimSun" w:eastAsia="SimSun" w:cs="SimSun"/>
          <w:sz w:val="20"/>
          <w:szCs w:val="20"/>
          <w:spacing w:val="11"/>
        </w:rPr>
        <w:t>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11"/>
        </w:rPr>
        <w:t>铁路工程建设期间、应加强控制网复测维护工作。控制网复测维护分为定期复测维护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和</w:t>
      </w:r>
      <w:r>
        <w:rPr>
          <w:rFonts w:ascii="SimSun" w:hAnsi="SimSun" w:eastAsia="SimSun" w:cs="SimSun"/>
          <w:sz w:val="20"/>
          <w:szCs w:val="20"/>
          <w:spacing w:val="11"/>
        </w:rPr>
        <w:t>不</w:t>
      </w:r>
      <w:r>
        <w:rPr>
          <w:rFonts w:ascii="SimSun" w:hAnsi="SimSun" w:eastAsia="SimSun" w:cs="SimSun"/>
          <w:sz w:val="20"/>
          <w:szCs w:val="20"/>
          <w:spacing w:val="9"/>
        </w:rPr>
        <w:t>定期复测维护，定期复测维护由建设单位组织实施</w:t>
      </w:r>
      <w:r>
        <w:rPr>
          <w:rFonts w:ascii="Calibri" w:hAnsi="Calibri" w:eastAsia="Calibri" w:cs="Calibri"/>
          <w:sz w:val="20"/>
          <w:szCs w:val="20"/>
          <w:spacing w:val="9"/>
        </w:rPr>
        <w:t>,</w:t>
      </w:r>
      <w:r>
        <w:rPr>
          <w:rFonts w:ascii="SimSun" w:hAnsi="SimSun" w:eastAsia="SimSun" w:cs="SimSun"/>
          <w:sz w:val="20"/>
          <w:szCs w:val="20"/>
          <w:spacing w:val="9"/>
        </w:rPr>
        <w:t>不定期复测维护由施工单位实施。</w:t>
      </w:r>
    </w:p>
    <w:p>
      <w:pPr>
        <w:ind w:left="24"/>
        <w:spacing w:before="257" w:line="347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7"/>
        </w:rPr>
        <w:t>7</w:t>
      </w:r>
      <w:r>
        <w:rPr>
          <w:rFonts w:ascii="Calibri" w:hAnsi="Calibri" w:eastAsia="Calibri" w:cs="Calibri"/>
          <w:sz w:val="20"/>
          <w:szCs w:val="20"/>
          <w:spacing w:val="10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[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单选题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]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下列属于道岔单项试验内容的是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()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。</w:t>
      </w:r>
    </w:p>
    <w:p>
      <w:pPr>
        <w:ind w:left="17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>故障电流试验</w:t>
      </w:r>
    </w:p>
    <w:p>
      <w:pPr>
        <w:ind w:left="31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B</w:t>
      </w:r>
      <w:r>
        <w:rPr>
          <w:rFonts w:ascii="Calibri" w:hAnsi="Calibri" w:eastAsia="Calibri" w:cs="Calibri"/>
          <w:sz w:val="20"/>
          <w:szCs w:val="20"/>
          <w:spacing w:val="8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5"/>
          <w:position w:val="7"/>
        </w:rPr>
        <w:t>分路试验</w:t>
      </w:r>
    </w:p>
    <w:p>
      <w:pPr>
        <w:ind w:left="23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残压测</w:t>
      </w:r>
      <w:r>
        <w:rPr>
          <w:rFonts w:ascii="SimSun" w:hAnsi="SimSun" w:eastAsia="SimSun" w:cs="SimSun"/>
          <w:sz w:val="20"/>
          <w:szCs w:val="20"/>
          <w:spacing w:val="6"/>
        </w:rPr>
        <w:t>试</w:t>
      </w:r>
    </w:p>
    <w:p>
      <w:pPr>
        <w:ind w:left="31"/>
        <w:spacing w:before="64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D</w:t>
      </w:r>
      <w:r>
        <w:rPr>
          <w:rFonts w:ascii="Calibri" w:hAnsi="Calibri" w:eastAsia="Calibri" w:cs="Calibri"/>
          <w:sz w:val="20"/>
          <w:szCs w:val="20"/>
          <w:spacing w:val="8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6"/>
          <w:position w:val="7"/>
        </w:rPr>
        <w:t>极性交叉试验</w:t>
      </w:r>
    </w:p>
    <w:p>
      <w:pPr>
        <w:ind w:left="22"/>
        <w:spacing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答案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A</w:t>
      </w:r>
    </w:p>
    <w:p>
      <w:pPr>
        <w:ind w:left="25" w:right="1166" w:hanging="4"/>
        <w:spacing w:before="64" w:line="30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解</w:t>
      </w:r>
      <w:r>
        <w:rPr>
          <w:rFonts w:ascii="SimSun" w:hAnsi="SimSun" w:eastAsia="SimSun" w:cs="SimSun"/>
          <w:sz w:val="20"/>
          <w:szCs w:val="20"/>
          <w:spacing w:val="6"/>
        </w:rPr>
        <w:t>析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道岔单项试验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SimSun" w:hAnsi="SimSun" w:eastAsia="SimSun" w:cs="SimSun"/>
          <w:sz w:val="20"/>
          <w:szCs w:val="20"/>
          <w:spacing w:val="6"/>
        </w:rPr>
        <w:t>手摇道岔密贴调整、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电操定、反位试验、断表示试验、摩擦电流试验、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故障电流试验。选项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BCD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属于轨道电路单项试验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ind w:left="22"/>
        <w:spacing w:before="250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  <w:position w:val="4"/>
        </w:rPr>
        <w:t>8</w:t>
      </w:r>
      <w:r>
        <w:rPr>
          <w:rFonts w:ascii="Calibri" w:hAnsi="Calibri" w:eastAsia="Calibri" w:cs="Calibri"/>
          <w:sz w:val="20"/>
          <w:szCs w:val="20"/>
          <w:spacing w:val="7"/>
          <w:position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4"/>
        </w:rPr>
        <w:t>[</w:t>
      </w:r>
      <w:r>
        <w:rPr>
          <w:rFonts w:ascii="SimSun" w:hAnsi="SimSun" w:eastAsia="SimSun" w:cs="SimSun"/>
          <w:sz w:val="20"/>
          <w:szCs w:val="20"/>
          <w:spacing w:val="7"/>
          <w:position w:val="4"/>
        </w:rPr>
        <w:t>单选题</w:t>
      </w:r>
      <w:r>
        <w:rPr>
          <w:rFonts w:ascii="Calibri" w:hAnsi="Calibri" w:eastAsia="Calibri" w:cs="Calibri"/>
          <w:sz w:val="20"/>
          <w:szCs w:val="20"/>
          <w:spacing w:val="7"/>
          <w:position w:val="4"/>
        </w:rPr>
        <w:t>]</w:t>
      </w:r>
      <w:r>
        <w:rPr>
          <w:rFonts w:ascii="SimSun" w:hAnsi="SimSun" w:eastAsia="SimSun" w:cs="SimSun"/>
          <w:sz w:val="20"/>
          <w:szCs w:val="20"/>
          <w:spacing w:val="7"/>
          <w:position w:val="4"/>
        </w:rPr>
        <w:t>人工上砟整道时的顺序是</w:t>
      </w:r>
      <w:r>
        <w:rPr>
          <w:rFonts w:ascii="Calibri" w:hAnsi="Calibri" w:eastAsia="Calibri" w:cs="Calibri"/>
          <w:sz w:val="20"/>
          <w:szCs w:val="20"/>
          <w:spacing w:val="7"/>
          <w:position w:val="4"/>
        </w:rPr>
        <w:t>()</w:t>
      </w:r>
      <w:r>
        <w:rPr>
          <w:rFonts w:ascii="SimSun" w:hAnsi="SimSun" w:eastAsia="SimSun" w:cs="SimSun"/>
          <w:sz w:val="20"/>
          <w:szCs w:val="20"/>
          <w:spacing w:val="7"/>
          <w:position w:val="4"/>
        </w:rPr>
        <w:t>。</w:t>
      </w:r>
    </w:p>
    <w:p>
      <w:pPr>
        <w:ind w:left="17"/>
        <w:spacing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串轨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方枕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捣固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→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起道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补砟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拨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道</w:t>
      </w:r>
    </w:p>
    <w:p>
      <w:pPr>
        <w:ind w:left="31"/>
        <w:spacing w:before="33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串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轨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方枕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起道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拨道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补砟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捣固</w:t>
      </w:r>
    </w:p>
    <w:p>
      <w:pPr>
        <w:ind w:left="23"/>
        <w:spacing w:before="33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串轨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→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方枕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起道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补砟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捣固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→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拨道</w:t>
      </w:r>
    </w:p>
    <w:p>
      <w:pPr>
        <w:ind w:left="31"/>
        <w:spacing w:before="33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D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串轨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方枕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补砟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起道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→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捣固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-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拨道</w:t>
      </w:r>
    </w:p>
    <w:p>
      <w:pPr>
        <w:ind w:left="22"/>
        <w:spacing w:before="68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答</w:t>
      </w:r>
      <w:r>
        <w:rPr>
          <w:rFonts w:ascii="SimSun" w:hAnsi="SimSun" w:eastAsia="SimSun" w:cs="SimSun"/>
          <w:sz w:val="20"/>
          <w:szCs w:val="20"/>
          <w:spacing w:val="12"/>
        </w:rPr>
        <w:t>案：</w:t>
      </w:r>
      <w:r>
        <w:rPr>
          <w:rFonts w:ascii="Calibri" w:hAnsi="Calibri" w:eastAsia="Calibri" w:cs="Calibri"/>
          <w:sz w:val="20"/>
          <w:szCs w:val="20"/>
        </w:rPr>
        <w:t>D</w:t>
      </w:r>
    </w:p>
    <w:p>
      <w:pPr>
        <w:ind w:left="25" w:right="1232" w:hanging="4"/>
        <w:spacing w:before="65" w:line="30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解析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人工上砟整道时的顺序是</w:t>
      </w:r>
      <w:r>
        <w:rPr>
          <w:rFonts w:ascii="Calibri" w:hAnsi="Calibri" w:eastAsia="Calibri" w:cs="Calibri"/>
          <w:sz w:val="20"/>
          <w:szCs w:val="20"/>
          <w:spacing w:val="10"/>
        </w:rPr>
        <w:t>:</w:t>
      </w:r>
      <w:r>
        <w:rPr>
          <w:rFonts w:ascii="SimSun" w:hAnsi="SimSun" w:eastAsia="SimSun" w:cs="SimSun"/>
          <w:sz w:val="20"/>
          <w:szCs w:val="20"/>
          <w:spacing w:val="10"/>
        </w:rPr>
        <w:t>先串轨、方枕、补砟、起道、捣固、拨道</w:t>
      </w:r>
      <w:r>
        <w:rPr>
          <w:rFonts w:ascii="Calibri" w:hAnsi="Calibri" w:eastAsia="Calibri" w:cs="Calibri"/>
          <w:sz w:val="20"/>
          <w:szCs w:val="20"/>
          <w:spacing w:val="10"/>
        </w:rPr>
        <w:t>,</w:t>
      </w:r>
      <w:r>
        <w:rPr>
          <w:rFonts w:ascii="SimSun" w:hAnsi="SimSun" w:eastAsia="SimSun" w:cs="SimSun"/>
          <w:sz w:val="20"/>
          <w:szCs w:val="20"/>
          <w:spacing w:val="10"/>
        </w:rPr>
        <w:t>并反复进行。最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终</w:t>
      </w:r>
      <w:r>
        <w:rPr>
          <w:rFonts w:ascii="SimSun" w:hAnsi="SimSun" w:eastAsia="SimSun" w:cs="SimSun"/>
          <w:sz w:val="20"/>
          <w:szCs w:val="20"/>
          <w:spacing w:val="14"/>
        </w:rPr>
        <w:t>保</w:t>
      </w:r>
      <w:r>
        <w:rPr>
          <w:rFonts w:ascii="SimSun" w:hAnsi="SimSun" w:eastAsia="SimSun" w:cs="SimSun"/>
          <w:sz w:val="20"/>
          <w:szCs w:val="20"/>
          <w:spacing w:val="8"/>
        </w:rPr>
        <w:t>证轨距、轨向、平顺性符合有关规定。</w:t>
      </w:r>
    </w:p>
    <w:p>
      <w:pPr>
        <w:ind w:left="22"/>
        <w:spacing w:before="249" w:line="347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8"/>
          <w:position w:val="7"/>
        </w:rPr>
        <w:t>9</w:t>
      </w:r>
      <w:r>
        <w:rPr>
          <w:rFonts w:ascii="Calibri" w:hAnsi="Calibri" w:eastAsia="Calibri" w:cs="Calibri"/>
          <w:sz w:val="20"/>
          <w:szCs w:val="20"/>
          <w:spacing w:val="16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7"/>
        </w:rPr>
        <w:t>[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单选题</w:t>
      </w:r>
      <w:r>
        <w:rPr>
          <w:rFonts w:ascii="Calibri" w:hAnsi="Calibri" w:eastAsia="Calibri" w:cs="Calibri"/>
          <w:sz w:val="20"/>
          <w:szCs w:val="20"/>
          <w:spacing w:val="9"/>
          <w:position w:val="7"/>
        </w:rPr>
        <w:t>]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变、配电所设备基坑挖后，应检测基底土壤的</w:t>
      </w:r>
      <w:r>
        <w:rPr>
          <w:rFonts w:ascii="Calibri" w:hAnsi="Calibri" w:eastAsia="Calibri" w:cs="Calibri"/>
          <w:sz w:val="20"/>
          <w:szCs w:val="20"/>
          <w:spacing w:val="9"/>
          <w:position w:val="7"/>
        </w:rPr>
        <w:t>()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。</w:t>
      </w:r>
    </w:p>
    <w:p>
      <w:pPr>
        <w:ind w:left="17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承载力</w:t>
      </w:r>
    </w:p>
    <w:p>
      <w:pPr>
        <w:ind w:left="3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4"/>
        </w:rPr>
        <w:t>B</w:t>
      </w:r>
      <w:r>
        <w:rPr>
          <w:rFonts w:ascii="Calibri" w:hAnsi="Calibri" w:eastAsia="Calibri" w:cs="Calibri"/>
          <w:sz w:val="20"/>
          <w:szCs w:val="20"/>
          <w:spacing w:val="-6"/>
        </w:rPr>
        <w:t>.</w:t>
      </w:r>
      <w:r>
        <w:rPr>
          <w:rFonts w:ascii="Calibri" w:hAnsi="Calibri" w:eastAsia="Calibri" w:cs="Calibri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电阻率</w:t>
      </w:r>
    </w:p>
    <w:p>
      <w:pPr>
        <w:sectPr>
          <w:footerReference w:type="default" r:id="rId3"/>
          <w:pgSz w:w="11906" w:h="16839"/>
          <w:pgMar w:top="400" w:right="566" w:bottom="400" w:left="1785" w:header="0" w:footer="0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3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C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6"/>
          <w:position w:val="7"/>
        </w:rPr>
        <w:t>含水率</w:t>
      </w:r>
    </w:p>
    <w:p>
      <w:pPr>
        <w:ind w:left="31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酸碱</w:t>
      </w:r>
      <w:r>
        <w:rPr>
          <w:rFonts w:ascii="SimSun" w:hAnsi="SimSun" w:eastAsia="SimSun" w:cs="SimSun"/>
          <w:sz w:val="20"/>
          <w:szCs w:val="20"/>
          <w:spacing w:val="3"/>
        </w:rPr>
        <w:t>度</w:t>
      </w:r>
    </w:p>
    <w:p>
      <w:pPr>
        <w:ind w:left="22"/>
        <w:spacing w:before="65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答</w:t>
      </w:r>
      <w:r>
        <w:rPr>
          <w:rFonts w:ascii="SimSun" w:hAnsi="SimSun" w:eastAsia="SimSun" w:cs="SimSun"/>
          <w:sz w:val="20"/>
          <w:szCs w:val="20"/>
          <w:spacing w:val="8"/>
        </w:rPr>
        <w:t>案：</w:t>
      </w:r>
      <w:r>
        <w:rPr>
          <w:rFonts w:ascii="Calibri" w:hAnsi="Calibri" w:eastAsia="Calibri" w:cs="Calibri"/>
          <w:sz w:val="20"/>
          <w:szCs w:val="20"/>
        </w:rPr>
        <w:t>A</w:t>
      </w:r>
    </w:p>
    <w:p>
      <w:pPr>
        <w:ind w:left="23" w:right="1235" w:hanging="2"/>
        <w:spacing w:before="63" w:line="30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解</w:t>
      </w:r>
      <w:r>
        <w:rPr>
          <w:rFonts w:ascii="SimSun" w:hAnsi="SimSun" w:eastAsia="SimSun" w:cs="SimSun"/>
          <w:sz w:val="20"/>
          <w:szCs w:val="20"/>
          <w:spacing w:val="11"/>
        </w:rPr>
        <w:t>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11"/>
        </w:rPr>
        <w:t>变、配电所设备基坑开挖完成后，应对开挖基坑底面进行土壤承载力试验，如地质情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况与设计不符需及时与设计单位联系解决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ind w:left="31"/>
        <w:spacing w:before="249" w:line="34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10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[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单选题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]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某涵顶进施工，涵孔径为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5</w:t>
      </w:r>
      <w:r>
        <w:rPr>
          <w:rFonts w:ascii="Calibri" w:hAnsi="Calibri" w:eastAsia="Calibri" w:cs="Calibri"/>
          <w:sz w:val="20"/>
          <w:szCs w:val="20"/>
          <w:position w:val="7"/>
        </w:rPr>
        <w:t>m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,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顶部无覆盖土，适宜采用的加固方法为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(</w:t>
      </w:r>
      <w:r>
        <w:rPr>
          <w:rFonts w:ascii="Calibri" w:hAnsi="Calibri" w:eastAsia="Calibri" w:cs="Calibri"/>
          <w:sz w:val="20"/>
          <w:szCs w:val="20"/>
          <w:spacing w:val="1"/>
          <w:position w:val="7"/>
        </w:rPr>
        <w:t>)</w:t>
      </w:r>
    </w:p>
    <w:p>
      <w:pPr>
        <w:ind w:left="17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2"/>
        </w:rPr>
        <w:t>.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吊轨纵横梁</w:t>
      </w:r>
    </w:p>
    <w:p>
      <w:pPr>
        <w:ind w:left="31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7"/>
          <w:position w:val="7"/>
        </w:rPr>
        <w:t>B</w:t>
      </w:r>
      <w:r>
        <w:rPr>
          <w:rFonts w:ascii="Calibri" w:hAnsi="Calibri" w:eastAsia="Calibri" w:cs="Calibri"/>
          <w:sz w:val="20"/>
          <w:szCs w:val="20"/>
          <w:spacing w:val="-9"/>
          <w:position w:val="7"/>
        </w:rPr>
        <w:t>.</w:t>
      </w:r>
      <w:r>
        <w:rPr>
          <w:rFonts w:ascii="Calibri" w:hAnsi="Calibri" w:eastAsia="Calibri" w:cs="Calibri"/>
          <w:sz w:val="20"/>
          <w:szCs w:val="20"/>
          <w:spacing w:val="-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>吊轨</w:t>
      </w:r>
    </w:p>
    <w:p>
      <w:pPr>
        <w:ind w:left="23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轨束梁</w:t>
      </w:r>
    </w:p>
    <w:p>
      <w:pPr>
        <w:ind w:left="3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钢便</w:t>
      </w:r>
      <w:r>
        <w:rPr>
          <w:rFonts w:ascii="SimSun" w:hAnsi="SimSun" w:eastAsia="SimSun" w:cs="SimSun"/>
          <w:sz w:val="20"/>
          <w:szCs w:val="20"/>
          <w:spacing w:val="3"/>
        </w:rPr>
        <w:t>梁</w:t>
      </w:r>
    </w:p>
    <w:p>
      <w:pPr>
        <w:ind w:left="22"/>
        <w:spacing w:before="65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答</w:t>
      </w:r>
      <w:r>
        <w:rPr>
          <w:rFonts w:ascii="SimSun" w:hAnsi="SimSun" w:eastAsia="SimSun" w:cs="SimSun"/>
          <w:sz w:val="20"/>
          <w:szCs w:val="20"/>
          <w:spacing w:val="8"/>
        </w:rPr>
        <w:t>案：</w:t>
      </w:r>
      <w:r>
        <w:rPr>
          <w:rFonts w:ascii="Calibri" w:hAnsi="Calibri" w:eastAsia="Calibri" w:cs="Calibri"/>
          <w:sz w:val="20"/>
          <w:szCs w:val="20"/>
        </w:rPr>
        <w:t>A</w:t>
      </w:r>
    </w:p>
    <w:p>
      <w:pPr>
        <w:ind w:left="22" w:right="1176" w:hanging="1"/>
        <w:spacing w:before="29" w:line="30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解析</w:t>
      </w:r>
      <w:r>
        <w:rPr>
          <w:rFonts w:ascii="Calibri" w:hAnsi="Calibri" w:eastAsia="Calibri" w:cs="Calibri"/>
          <w:sz w:val="20"/>
          <w:szCs w:val="20"/>
          <w:spacing w:val="12"/>
        </w:rPr>
        <w:t>: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营业线桥涵顶进前，常用的方法有吊</w:t>
      </w:r>
      <w:r>
        <w:rPr>
          <w:rFonts w:ascii="Calibri" w:hAnsi="Calibri" w:eastAsia="Calibri" w:cs="Calibri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扣</w:t>
      </w:r>
      <w:r>
        <w:rPr>
          <w:rFonts w:ascii="Calibri" w:hAnsi="Calibri" w:eastAsia="Calibri" w:cs="Calibri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>轨、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吊轨纵横梁以及钢便梁三种加固方法。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吊轨纵横梁法适用于桥涵孔径较大、箱顶无覆盖士的线路加固。无论正交、斜交都可使用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吊轨法一般应用于桥涵孔径小于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>3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、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处于直线地段、路基土质较好的线路加固。钢便</w:t>
      </w:r>
      <w:r>
        <w:rPr>
          <w:rFonts w:ascii="SimSun" w:hAnsi="SimSun" w:eastAsia="SimSun" w:cs="SimSun"/>
          <w:sz w:val="20"/>
          <w:szCs w:val="20"/>
          <w:spacing w:val="4"/>
        </w:rPr>
        <w:t>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法适用于跨度</w:t>
      </w:r>
      <w:r>
        <w:rPr>
          <w:rFonts w:ascii="Calibri" w:hAnsi="Calibri" w:eastAsia="Calibri" w:cs="Calibri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斜跨</w:t>
      </w:r>
      <w:r>
        <w:rPr>
          <w:rFonts w:ascii="Calibri" w:hAnsi="Calibri" w:eastAsia="Calibri" w:cs="Calibri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>小于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24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的桥涵顶进施工</w:t>
      </w:r>
      <w:r>
        <w:rPr>
          <w:rFonts w:ascii="SimSun" w:hAnsi="SimSun" w:eastAsia="SimSun" w:cs="SimSun"/>
          <w:sz w:val="20"/>
          <w:szCs w:val="20"/>
          <w:spacing w:val="4"/>
        </w:rPr>
        <w:t>。</w:t>
      </w:r>
    </w:p>
    <w:p>
      <w:pPr>
        <w:ind w:left="31"/>
        <w:spacing w:before="248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1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>]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地方电网给高速铁路牵引变所进线提供的电力为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>()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。</w:t>
      </w:r>
    </w:p>
    <w:p>
      <w:pPr>
        <w:ind w:left="17"/>
        <w:spacing w:before="108" w:line="18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9"/>
        </w:rPr>
        <w:t>.</w:t>
      </w:r>
      <w:r>
        <w:rPr>
          <w:rFonts w:ascii="Calibri" w:hAnsi="Calibri" w:eastAsia="Calibri" w:cs="Calibri"/>
          <w:sz w:val="20"/>
          <w:szCs w:val="20"/>
          <w:spacing w:val="8"/>
        </w:rPr>
        <w:t>10</w:t>
      </w:r>
      <w:r>
        <w:rPr>
          <w:rFonts w:ascii="Calibri" w:hAnsi="Calibri" w:eastAsia="Calibri" w:cs="Calibri"/>
          <w:sz w:val="20"/>
          <w:szCs w:val="20"/>
        </w:rPr>
        <w:t>KV</w:t>
      </w:r>
    </w:p>
    <w:p>
      <w:pPr>
        <w:ind w:left="31"/>
        <w:spacing w:before="121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2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12"/>
        </w:rPr>
        <w:t>.3</w:t>
      </w:r>
      <w:r>
        <w:rPr>
          <w:rFonts w:ascii="Calibri" w:hAnsi="Calibri" w:eastAsia="Calibri" w:cs="Calibri"/>
          <w:sz w:val="20"/>
          <w:szCs w:val="20"/>
          <w:spacing w:val="2"/>
          <w:position w:val="12"/>
        </w:rPr>
        <w:t>5</w:t>
      </w:r>
      <w:r>
        <w:rPr>
          <w:rFonts w:ascii="Calibri" w:hAnsi="Calibri" w:eastAsia="Calibri" w:cs="Calibri"/>
          <w:sz w:val="20"/>
          <w:szCs w:val="20"/>
          <w:position w:val="12"/>
        </w:rPr>
        <w:t>KV</w:t>
      </w:r>
    </w:p>
    <w:p>
      <w:pPr>
        <w:ind w:left="23"/>
        <w:spacing w:line="18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11</w:t>
      </w:r>
      <w:r>
        <w:rPr>
          <w:rFonts w:ascii="Calibri" w:hAnsi="Calibri" w:eastAsia="Calibri" w:cs="Calibri"/>
          <w:sz w:val="20"/>
          <w:szCs w:val="20"/>
          <w:spacing w:val="3"/>
        </w:rPr>
        <w:t>0</w:t>
      </w:r>
      <w:r>
        <w:rPr>
          <w:rFonts w:ascii="Calibri" w:hAnsi="Calibri" w:eastAsia="Calibri" w:cs="Calibri"/>
          <w:sz w:val="20"/>
          <w:szCs w:val="20"/>
        </w:rPr>
        <w:t>V</w:t>
      </w:r>
    </w:p>
    <w:p>
      <w:pPr>
        <w:ind w:left="31"/>
        <w:spacing w:before="123" w:line="18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1"/>
        </w:rPr>
        <w:t>.220</w:t>
      </w:r>
      <w:r>
        <w:rPr>
          <w:rFonts w:ascii="Calibri" w:hAnsi="Calibri" w:eastAsia="Calibri" w:cs="Calibri"/>
          <w:sz w:val="20"/>
          <w:szCs w:val="20"/>
        </w:rPr>
        <w:t>V</w:t>
      </w:r>
    </w:p>
    <w:p>
      <w:pPr>
        <w:ind w:left="22"/>
        <w:spacing w:before="80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答</w:t>
      </w:r>
      <w:r>
        <w:rPr>
          <w:rFonts w:ascii="SimSun" w:hAnsi="SimSun" w:eastAsia="SimSun" w:cs="SimSun"/>
          <w:sz w:val="20"/>
          <w:szCs w:val="20"/>
          <w:spacing w:val="12"/>
        </w:rPr>
        <w:t>案：</w:t>
      </w:r>
      <w:r>
        <w:rPr>
          <w:rFonts w:ascii="Calibri" w:hAnsi="Calibri" w:eastAsia="Calibri" w:cs="Calibri"/>
          <w:sz w:val="20"/>
          <w:szCs w:val="20"/>
        </w:rPr>
        <w:t>D</w:t>
      </w:r>
    </w:p>
    <w:p>
      <w:pPr>
        <w:ind w:left="21"/>
        <w:spacing w:before="6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解析</w:t>
      </w:r>
      <w:r>
        <w:rPr>
          <w:rFonts w:ascii="Calibri" w:hAnsi="Calibri" w:eastAsia="Calibri" w:cs="Calibri"/>
          <w:sz w:val="20"/>
          <w:szCs w:val="20"/>
          <w:spacing w:val="7"/>
        </w:rPr>
        <w:t>: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地方电网给高速铁路牵引变所进线提供的电力为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>220</w:t>
      </w:r>
      <w:r>
        <w:rPr>
          <w:rFonts w:ascii="Calibri" w:hAnsi="Calibri" w:eastAsia="Calibri" w:cs="Calibri"/>
          <w:sz w:val="20"/>
          <w:szCs w:val="20"/>
        </w:rPr>
        <w:t>V</w:t>
      </w:r>
      <w:r>
        <w:rPr>
          <w:rFonts w:ascii="SimSun" w:hAnsi="SimSun" w:eastAsia="SimSun" w:cs="SimSun"/>
          <w:sz w:val="20"/>
          <w:szCs w:val="20"/>
          <w:spacing w:val="1"/>
        </w:rPr>
        <w:t>。</w:t>
      </w:r>
    </w:p>
    <w:sectPr>
      <w:pgSz w:w="11906" w:h="16839"/>
      <w:pgMar w:top="400" w:right="566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"/>
      <w:spacing w:line="186" w:lineRule="auto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B.</w:t>
    </w:r>
    <w:r>
      <w:rPr>
        <w:rFonts w:ascii="Calibri" w:hAnsi="Calibri" w:eastAsia="Calibri" w:cs="Calibri"/>
        <w:sz w:val="20"/>
        <w:szCs w:val="20"/>
      </w:rPr>
      <w:t xml:space="preserve"> </w:t>
    </w:r>
    <w:r>
      <w:rPr>
        <w:rFonts w:ascii="Calibri" w:hAnsi="Calibri" w:eastAsia="Calibri" w:cs="Calibri"/>
        <w:sz w:val="20"/>
        <w:szCs w:val="20"/>
      </w:rPr>
      <w:t>50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" style="position:absolute;margin-left:447.894pt;margin-top:28.3464pt;mso-position-vertical-relative:page;mso-position-horizontal-relative:page;width:119.1pt;height:32.55pt;z-index:-251658240;" o:allowincell="f" filled="false" stroked="false" type="#_x0000_t75">
          <v:imagedata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dcterms:created xsi:type="dcterms:W3CDTF">2022-06-23T16:42:14Z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2023-02-01T09:47:18</vt:filetime>
  </op:property>
</op:Properties>
</file>