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b/>
          <w:bCs/>
          <w:sz w:val="28"/>
          <w:szCs w:val="28"/>
        </w:rPr>
      </w:pPr>
      <w:r>
        <w:rPr>
          <w:b/>
          <w:bCs/>
          <w:sz w:val="28"/>
          <w:szCs w:val="28"/>
        </w:rPr>
        <w:t>2016 年一级建造师模考</w:t>
      </w:r>
    </w:p>
    <w:p>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《建设工程项目管理》</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b/>
          <w:bCs/>
        </w:rPr>
        <w:t>一、单项选择题（共 70 题，每题 1 分。每题的备选项中，只有 1 个最符合题意）</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1.下列关于工程管理与工程项目管理的说法，错误的是(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A.工程管理的核心任务是项目的目标控制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B.工程项目管理的工作仅限于在项目实施阶段的工作</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C.工程项目管理是工程管理的一个组成部分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D.工程管理集成了开发管理、项目管理和设施管理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2.下列关于业主方项目管理目标说法正确的是(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A.费用目标指的是业主方的成本目标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B.进度目标指的是项目交付使用的时间目标</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C.质量目标指的是施工质量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D.质量目标主要满足相应的技术规范和技术标准</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3.如果对一个建设工程的项目管理进行诊断，首先应分析(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)方面存在的问题。</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A.组织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D.工具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4.组织结构图中，矩形框表示的含义是(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A.参与单位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B.工作部门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C.工作人员</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D.工作任务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5.建设工程管理核心任务是为工程的建设和使用增值，下列属于工程建设增值的有(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A.有利于工程维护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B.有利于投资或成本控制</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C.有利于降低工程运营成本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D.有利于节能、环保</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6.工作流程图是一个重要的组织工具，常用菱形框表示(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A.工作</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B.判别条件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C.工作关系 D.工作部门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 xml:space="preserve">下列关于工程项目策划的论述，不正确的是( </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A.工程项目策划旨在为项目建设的决策和实施增值</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B.工程项目策划的实质是知识管理的过程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C.工程项目实施阶段策划应在建设项目立项之后完成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D.决策阶段策划的主要任务是确定如何组织该项目的开发或建设</w:t>
      </w:r>
      <w:r>
        <w:rPr>
          <w:rFonts w:hint="eastAsia" w:asciiTheme="minorEastAsia" w:hAnsiTheme="minorEastAsia" w:eastAsiaTheme="minorEastAsia" w:cstheme="minorEastAsia"/>
        </w:rPr>
        <w:tab/>
      </w:r>
      <w:bookmarkStart w:id="0" w:name="_GoBack"/>
      <w:bookmarkEnd w:id="0"/>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8.项目决策的标志是(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A.立项批准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B.资金落实</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C.设计完成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D.可行性研究审核通过</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9.施工总承包模式中投资控制方面的特点不包括(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A.一般以施工图设计为投标报价的基础，投标人的投标报价较有依据</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B.多数情况下，由业主方与分包人直接签约，这样有时能增加业主方的风险</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C.若在施工过程中发生设计变更，可能会引发索赔</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D.在开工前就有较明确的合同价，有利于业主的总投资控制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10.为了编制项目管理任务分工表，首先要完成的任务是(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A.明确各项工作的工作流程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B.确定各主管部门或主管人员的工作任务</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C.对项目管理任务进行详细分解</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D.落实各工作部门的具体人员</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11.如使用管理职能分工表还不足以明确每个工作部门的管理职能，则可辅以使用(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A.项目管理目标责任书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B.岗位责任描述书</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C.管理职能分工描述书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D.项目构造描述书</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12.为避免项目目标偏离的发生，应重视项目目标的主动控制，即(</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A.定期地进行项目目标的计划值和实际值的比较，采取纠偏措施</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B.事前分析可能导致项目目标偏离的各种影响因素，并采取有效的预防措施</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C.进行项目目标的调整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D.将项目的目标进行分解，确定用于目标控制的计划值</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13.施工平面图是(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)及施工进度计划在空间上的全面安排。</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A.施工方案</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B.施工部署</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C.工程结构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D.施工管理计划</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14.</w:t>
      </w:r>
      <w:r>
        <w:rPr>
          <w:rFonts w:hint="eastAsia" w:asciiTheme="minorEastAsia" w:hAnsiTheme="minorEastAsia" w:eastAsiaTheme="minorEastAsia" w:cstheme="minorEastAsia"/>
        </w:rPr>
        <w:t>改变施工管理，强化合同管理属于项目目标动态控制的(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)措施。</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A.组织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B.管理</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C.技术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D.经济</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15.关于建设项目工程总承包的说法正确的是(   )。</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A.建设项目工程总承包的主要意义是总价包干</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B.建设项目工程总承包的主要意义是"交钥匙"</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C.建设项目工程总承包的核心是通过设计与施工的组织集成，以达到为项目建设增值</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D.建设项目工程总承包多数采用固定总价合同</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16.某酒店项目经公开招标，由某施工单位承建，包工包料。施工过程中，建设单位提出为确保外墙涂层质量，将施工单位己订购的某小厂生产的涂料更换为另一物美价廉的著名进口涂料。根据有关规定，(   )。</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A.建设单位通知设计单位修改设计文件后，可以更换</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B.建设单位经过总监理工程师签字认可后，可以更换</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C.施工单位有权拒绝更换</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D.如施工单位同意更换，更换后的外墙涂料进场时由建设单位负责检验</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17.建设工程项目风险可分为组织风险、经济与管理风险、工程环境风险和技术风险等，下列风险因素中属于技术风险的是(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A.工程物资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B.现场防火设施</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C.事故防范计划</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D.一般技工的能力</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18.沟通过程的要素中，(</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)是实施沟通过程和提高沟通功效的重要环节。</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A.沟通主体</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B.沟通客体</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C.沟通介体</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D.沟通渠道</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19.根据《建设工程安全生产管理条例》的规定，工程监理单位在实施监理过程中，发现存在安全事故隐患的，应当(</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A.要求施工单位整改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B.要求施工单位暂时停止施工</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C.及时向有关主管部门报告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D.及时报告建设单位要求施工单位停止施工</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20.在建设工程项目施工成本管理的措施中，最易为人们所接受和采用的措施是(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A.合同措施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B.经济措施</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C.技术措施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D.组织措施</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21.下列有关建设工程项目管理规划的论述，不正确的是(   )。</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A.项目管理规划涉及项目整个实施阶段，在项目总承包模式下，可由项目总承包方编制项目管理规划</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B.项目管理规划是指导项目管理工作的纲领性文件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C.项目管理规划大纲由项目经理编制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D.工程合同是编制项目管理规划大纲的依据之一</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22.在组织上和经济上不能依附于监理工作的对象，体现了工程监理工作的(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A.公正性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B.服务性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C.科学性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D.独立性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numPr>
          <w:ilvl w:val="0"/>
          <w:numId w:val="1"/>
        </w:numPr>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工程施工阶段建设监理工作的主要任务中，属于施工阶段投资控制工作的是(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p>
    <w:p>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A.监督施工单位严格按照施工合同规定的工期组织施工</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B.监督施工单位对各类土木和混凝土试件按规定进行检查和抽查</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C.建立计量支付签证台账，定期与施工单位核对清算</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D.建立工程进度台账，核对工程形象进度，按月、季和年度向业主报告工程执行情况、工程进</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度以及存在的问题</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numPr>
          <w:ilvl w:val="0"/>
          <w:numId w:val="2"/>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某土方工程月计划工程量 2800m³，预算单价 25 元/m³；到月末时已完成工程量 3000m</w:t>
      </w:r>
    </w:p>
    <w:p>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³，实际单价 26 元/m³。对该项工作采用赢得值法进行偏差分析的说法，正确的是（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A.已完成工作实际费用为 75000 元</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B.费用偏差为-3000 元，表明项目运行超出预算费用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C.费用绩效指标&gt;1，表明项目运行超出预算费用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D.进度偏差为 5200 元，表明实际进度比计划进度提前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25.有关施工成本统计核算的表述,说法正确的是(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A.通过一系列有组织有系统的方法,来记录企业的一切生产经营活动,然后据以提出一些用货币来反映的有关各种综合性经济指标的数据</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B.其核算记录具有连续性、系统性、综合性等特点，所以它是施工成本分析的重要依据</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C.主要利用业务核算资料,把企业生产经营活动客观现状的大量数据,按统计方法加以系统整理</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D.通过全面调查和抽样调查等特有的方法,不仅能提供绝对数指标,还能提供相对数和平均数指标</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26.重视信息技术在进度控制中的应用，属于（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）措施。</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A.技术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B.组织</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C.管理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D.经济</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27.某工程双代号网络计划如下图所示，其关键线路有(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)条。</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anchor distT="0" distB="0" distL="114300" distR="114300" simplePos="0" relativeHeight="251665408" behindDoc="1" locked="0" layoutInCell="0" allowOverlap="1">
            <wp:simplePos x="0" y="0"/>
            <wp:positionH relativeFrom="column">
              <wp:posOffset>18415</wp:posOffset>
            </wp:positionH>
            <wp:positionV relativeFrom="paragraph">
              <wp:posOffset>163830</wp:posOffset>
            </wp:positionV>
            <wp:extent cx="3703320" cy="1402080"/>
            <wp:effectExtent l="0" t="0" r="11430" b="7620"/>
            <wp:wrapNone/>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3703320" cy="1402080"/>
                    </a:xfrm>
                    <a:prstGeom prst="rect">
                      <a:avLst/>
                    </a:prstGeom>
                    <a:noFill/>
                    <a:ln w="9525">
                      <a:noFill/>
                    </a:ln>
                  </pic:spPr>
                </pic:pic>
              </a:graphicData>
            </a:graphic>
          </wp:anchor>
        </w:drawing>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B.2</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C.3</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D.4</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28.工作 D 有三项紧前工作 A、B、C，其持续时间分别为：A=3、B＝7、C=5，其最早开始时间分别为：A=4、B=5、C=6，则工作 C 的自由时差为(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B.5</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D.3</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29.某风险位于风险区 B，则其对应的风险等级为(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)等风险。</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A.3</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B.4</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D.2</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30.某工程网络计划中工作 A 的持续时间为 5d，其两项紧前工作的最早完成时间分别为第 6天和第 8 天，则工作 A 的最早完成时间为第(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)天。</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A.6</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B.8</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C.11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D.13</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31.某工程双代号时标网络计划如下图所示，其中工作 B 的总时差和自由时差(</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fldChar w:fldCharType="begin"/>
      </w:r>
      <w:r>
        <w:rPr>
          <w:rFonts w:hint="eastAsia" w:asciiTheme="minorEastAsia" w:hAnsiTheme="minorEastAsia" w:eastAsiaTheme="minorEastAsia" w:cstheme="minorEastAsia"/>
          <w:lang w:val="en-US" w:eastAsia="zh-CN"/>
        </w:rPr>
        <w:instrText xml:space="preserve">INCLUDEPICTURE \d "C:\\Users\\wang\\AppData\\Roaming\\Tencent\\Users\\453517488\\QQ\\WinTemp\\RichOle\\TKAO0)~JRCQ6208PJSBV50S.png" \* MERGEFORMATINET </w:instrText>
      </w:r>
      <w:r>
        <w:rPr>
          <w:rFonts w:hint="eastAsia" w:asciiTheme="minorEastAsia" w:hAnsiTheme="minorEastAsia" w:eastAsiaTheme="minorEastAsia" w:cstheme="minorEastAsia"/>
          <w:lang w:val="en-US" w:eastAsia="zh-CN"/>
        </w:rPr>
        <w:fldChar w:fldCharType="separate"/>
      </w:r>
      <w:r>
        <w:rPr>
          <w:rFonts w:hint="eastAsia" w:asciiTheme="minorEastAsia" w:hAnsiTheme="minorEastAsia" w:eastAsiaTheme="minorEastAsia" w:cstheme="minorEastAsia"/>
          <w:lang w:val="en-US" w:eastAsia="zh-CN"/>
        </w:rPr>
        <w:drawing>
          <wp:inline distT="0" distB="0" distL="114300" distR="114300">
            <wp:extent cx="4419600" cy="1838325"/>
            <wp:effectExtent l="0" t="0" r="0" b="9525"/>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7" r:link="rId8"/>
                    <a:stretch>
                      <a:fillRect/>
                    </a:stretch>
                  </pic:blipFill>
                  <pic:spPr>
                    <a:xfrm>
                      <a:off x="0" y="0"/>
                      <a:ext cx="4419600" cy="1838325"/>
                    </a:xfrm>
                    <a:prstGeom prst="rect">
                      <a:avLst/>
                    </a:prstGeom>
                    <a:noFill/>
                    <a:ln w="9525">
                      <a:noFill/>
                    </a:ln>
                  </pic:spPr>
                </pic:pic>
              </a:graphicData>
            </a:graphic>
          </wp:inline>
        </w:drawing>
      </w:r>
      <w:r>
        <w:rPr>
          <w:rFonts w:hint="eastAsia" w:asciiTheme="minorEastAsia" w:hAnsiTheme="minorEastAsia" w:eastAsiaTheme="minorEastAsia" w:cstheme="minorEastAsia"/>
          <w:lang w:val="en-US" w:eastAsia="zh-CN"/>
        </w:rPr>
        <w:fldChar w:fldCharType="end"/>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A.均为 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B.分别为 2 和 l</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C.分别为 4 和 l</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D.均为 4</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32.因发包人原因引起的暂停施工的，(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)应及时下达暂停施工指示。</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A.发包人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B.监理人</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C.承包人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D.设计人</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33.(</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)施工项目生产的主要负责人。</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A.项目负责人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B.施工单位法定代表人</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C.项目责任工程师</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D.总监理工程师</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34.开展(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质量管理的重要手段就是运用目标管理方法，将组织的质量总目标逐级进行分解，使之形成自上而下的质量目标分解体系和自下而上的质量目标保证体系，发挥组织系统内部每个工作岗位在实现质量总目标过程中的作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A.全面</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B.全方位</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C.全员参与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D.全过程</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35.当获证企业发生质量管理体系存在严重不符合规定的情况时，认证机构作出的处理决定是(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A.撤销认证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B.暂停认证</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C.重新复评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D.注销认证</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36.建筑施工企业超过(</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)日不支付劳动者工资的，属于无故拖欠工资行为。</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A.7</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B.10</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C.14</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D.30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37.现场施工准备工作的质量控制中，施工质量控制的一项重要基础工作是(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A.计量控制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B.施工人员的控制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C.测量控制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D.施工平面图控制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38.下列关于质量管理与质量控制的理解，不正确的是(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A.工程项目的质量要求是业主的建设意图通过项目策划确定的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B.质量管理就是建立和确定质量方针、目标及职责，并通过质量策划、质量控制、质量保证</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和质量改进实现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C.质量管理就是质量控制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D.质量控制的任务包括对项目参与单位质量行为以及工程实体质量的控制</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39.在建设工程项目质量控制系统的建立程序中，明确系统各层面的建设工程质量控制负责人的工作属于(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)工作环节。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A.编制系统质量控制计划</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B.制定系统质量控制制度</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C.确立系统质量控制网络</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D.分析系统质量控制界面</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40.对门窗口及构件的对角线检查，应采用的现场质量检查方法是(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A.目测法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B.实测法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C.理化试验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D.无损检测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41.某工程项目，甲方采购的一批钢材进场，施工单位应当在(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)监督下进行现场取样送检。</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A.建设单位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B.质量监督机构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C.设计单位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D.建设行政主管部门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42.项目风险响应指的是针对项目风险的(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)进行风险响应。</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A.对策</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B.评估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C.识别</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D.控制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43.根据《建设工程施工专业分包合同( 示范文本)》 ，下列说法正确的是(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A.承包人应提供全套总包合同供分包人查阅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B.发包人组织分包人参加图纸会审并对其进行设计交底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C.就分包工程范围内的有关工作，监理人随时可以向分包人发出指令</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D.分包合同价款与总包合同价款无任何连带关系</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44.我国的工程监理属于国际上(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)项目管理的范畴。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A.施工方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B.业主方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C.设计方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D.采购方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45.确立本组织统一的质量宗旨和方向，并营造和保持使员工充分参与实现组织目标的内部环境。</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体现了质量管理的(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)原则。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A.以顾客为关注焦点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B.领导作用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C.过程方法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D.全员参与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46.建设工程项目质量目标实现的最重要和最关键的过程是在(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A.决策阶段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B.实施阶段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C.设计阶段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D.施工阶段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47.在建设工程项目决策阶段，(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)应按照有关建设工程的法律法规和强制性标准的要求，办理各种有关安全与环境保护方面的审批手续。</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A.建设单位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B.监理单位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C.施工单位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D.设计单位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48.项目竣工后，环保行政主管部门应在收到申请环保设施竣工验收之日起(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)日内完成验收。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A.10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B.15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C.20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D.30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49.对混凝土结构局部出现的损伤，如结构受撞击，局部未振实、冻害、火灾、酸类腐蚀、碱骨料反应等，当这些损伤仅仅在结构的表面或局部，不影响其使用和外观，可进行的处理方法是(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A.返修处理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B.加固处理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C.返工处理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D.不作处理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50.下列关于 PDCA 循环原理，论述不正确的是(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A.处置分为纠偏和预防改进两个方面</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B.质量计划的职能包括确定质量目标和制定实现质量目标的行动方案两个方面</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C.实施职能在于将质量目标值通过生产要素的投入、作业技术活动和产出过程，转化为实际值</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D.检查包括作业者的自检、互检和交接检查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51.施工现场噪声的控制措施中，属于声源控制措施的是(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A.隔声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B.低噪声设备代替高噪声设备</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C.减振降噪</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D.吸声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52.工程建设施工现场的固体废物的处理方法不包括(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A.减量化处理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B.稳定和固化</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C.填埋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D.分解</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53.对质量控制系统的能力和运行效果进行评价，并为及时作出处置提供决策依据的是(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A.动力机制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B.约束机制</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C.反馈机制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D.持续改进机制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54.根据《建设工程安全生产管理条例》的规定，施工单位应当自施工起重机械和整体提升脚手架、模板等自升式架设设施验收合格之日起(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)日内，向建设行政主管部门或者其他有</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关部门登记。</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A.10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B.15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C.20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D.30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55.工程项目施工招标中，自招标文件出售之日起至停止出售之日止，最短不得少于（</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B.7</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C.10</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D.15</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56.采用(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)合同，常以总报价为基础进行结算，如果工程量出现差异，可能对施工方极为不利，工程量估算的错误可能带来无法弥补的经济损失。</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A.变动总价合同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B.变动单价合同</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C.固定总价合同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D.成本加酬金合同</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57.下列关于安全生产管理制度的说法，不正确的是（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A.建筑面积在 1 万-5 万㎡的工地应当设 2 名专职安全员</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B.企业安全生产教育培训一般包括对管理人员、特种作业人员和新员工的安全教育</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C.离开特种作业岗位 6 个月以上的特种作业人员，应当重新进行特种作业实际操作考试</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D.安全检查的重点是检查“三违”和安全责任制的落实</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58.根据《安全生产许可证条例》规定，下列关于安全生产许可证的叙述有误的是(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A.安全生产许可证有效期为 3 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B.安全生产许可证有效期满需要延期的，应子期满前 3 个月向原颁发管理机关办理延期手续</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C.企业取得安全生产许可证的条件，包括依法参加意外伤害险</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D.安全生产许可证有效期延期为 3 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59.编制安全技术措施计划的程序包括:①工作活动分类；②风险评价； ③风险确定；④危险源识别；⑤制定安全技术措施计划。其正确步骤是(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A.①④②③⑤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B.①③④②⑤</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C.①③②④⑤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D.①④③②⑤</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60.某因素被预警评价为“受到事故严重威胁”，其预警等级为(</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A.I；红色</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B.II；橙色</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C.III；橙色</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D.IV；红色</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61.对加工订制、市场采购和自提自运的物资，由提货人在提取产品时检验的验收方式指的是(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A.驻厂验收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B.提运验收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C.接运验收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D.入库验收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62.下列关于货物采购的交货日期表述正确的是(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A.供货方负责送货的，以供货方发货戳记的日期为准</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B.供货方负责送货的，以供货方按合同规定通知的提货日期为准</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C.采购方提货的，以采购方收货戳记日期为准</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D.委托运输部门或单位运输、送货或代运的产品，以承运单位签发的日期</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63.建设工程索赔报告的关键部分是(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A.论证部分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B.证据部分</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C.总述部分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D.索赔款项计算部分</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64.根据《建设工程施工专业分包合同（示范文本）》GF-2003-0213 的规定，属于专业分包人的义务是(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A.负责已完分包工程的成品保护工作</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B.提供合同专用条款中约定的设备和设施，并承担因此发生的费用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C.负责整个施工场地的管理工作</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D.组织参加发包人组织的图纸会审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65.一般在工程初期很难描述工作范围和性质，或工期紧迫，无法按常规编制招标文件招标时采用的合同形式是(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A.最大成本加费用合同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B.成本加奖金合同</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C.成本加固定费用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D.成本加固定比例费用合同</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66.可用于各种干扰事件和多种干扰事件共同作用所引起的工期索赔的计算方法是(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A.比例分析法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B.直接法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C.网络分析法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D.间接法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67.对于承包人向发包人的索赔请求，索赔文件首先应该交由(</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)审核。</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A.设计人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B.政府主管部门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C.工程师</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D.发包人</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68.某隐蔽工程，监理人未按约定的时间进行检查，承包人自行隐蔽覆盖后监理人要求承包人揭开重新检查，则重新检查所增加的费用和延误的工期(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A.若检查合格，由发包人承担，若检查不合格，由承包人承担</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B.若检查合格，由监理人承担，若检查不合格，由承包人承担</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C.不论检查合格与否，均由发包人承担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D.不论检查合格与否，均由承包人承担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69.发包人应在(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)向承包人颁发缺陷责任期终止证书。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A.缺陷责任期满后 7 天内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B.收到缺陷责任期届满通知后 7 天内</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C.缺陷责任期满后 14 天内</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D.收到缺陷责任期届满通知后 14 天内</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70.项目信息门户运行的周期是建设工程的(</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A.全寿命期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B.实施阶段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C.决策阶段</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D.施工阶段</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二、多项选择题(共 30 题，每题 2 分。每题的备选项中，有 2 个或 2 个以上符合题意，至少有 1 个错项。错选，本题不得分；少选，所选的每个选项得 0.5 分)</w:t>
      </w:r>
      <w:r>
        <w:rPr>
          <w:rFonts w:hint="eastAsia" w:asciiTheme="minorEastAsia" w:hAnsiTheme="minorEastAsia" w:eastAsiaTheme="minorEastAsia" w:cstheme="minorEastAsia"/>
          <w:b/>
          <w:bCs/>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71.项目实施阶段开展的工作包括下列(</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A.编制设计任务书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B.编制项目建议书</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C.初步设计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D.编制可行性研究报告</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E.技术设计</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72.下列关于项目管理类型的划分，正确的是(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A.监理单位开展的项目管理属于业主方项目管理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B.工程总承包方开展的项目管理属于业主方项目管理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C.施工总承包管理方开展的项目管理属于业主方项目管理</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D.施工专业分包方和劳务分包方开展的项目管理属于施工方项目管理</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E.施工方委托的项目管理单位开展的项目管理属于施工方项目管理</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73.项目管理实施规划的编制依据有(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A.项目条件和环境分析资料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B.同类项目的相关资料</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C.项目管理规划大纲</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D.工程合同及相关文件</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E.可行性研究报告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74.下列关于项目管理工作流程的说法，正确的是(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A.项目管理工作流程包括管理工作流程、信息处理工作流程、技术流程</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B.投资控制工作流程属于管理工作流程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C.与生成月度进度报告有关的数据处理流程属于信息处理工作流程</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D.钢结构深化设计工作流程属于物质流程</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E.工作流程图中，矩形框表示工作，箭线表示工作之间的逻辑关系，菱形框表示判别条件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75.有关矩阵组织结构特点及应用的表述，正确的有(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A.设有纵向和横向两种工作部门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B.一个工作部门有多个矛盾的指令源</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C.适宜用于大的组织系统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D.是一种传统的组织结构模式</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E.一个工作部门只有唯一的指令源</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76.下列关于施工企业劳动用工管理和工资支付管理的理解，正确的是(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A.施工企业不得使用零散工，不得允许未与企业签订劳动合同的劳动者在施工现场从事施工活动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B.施工企业应当自用工之日起与劳动者订立劳动合同，劳动合同一式三份，劳动者所在工地保留一份</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C.施工企业至少每月向劳动者支付一次工资，且支付部分不得低于当地最低工资标准</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D.施工企业应当将工资直接发放给劳动者本人</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E.若施工企业经营困难无法按期支付劳动者工资，可以延期支付，但最长不超过 56 天</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77.项目经理的职责包括(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A.主持编制项目管理实施规划</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B.对资源进行动态管理</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C.负责项目的检查、鉴定和评奖申报工作</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D.组织工程竣工验收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E.进行利益分配</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78.关于建设工程项目进度计划系统的表述，正确的有(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A.建设工程项目进度计划系统编制完成后不可以进行调整</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B.建设工程项目进度计划系统是由多个相互关联的进度计划组成的系统</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C.建设工程项目进度计划系统是项目进度控制的依据</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D.项目进度计划系统是逐步形成的</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E.建设工程项目进度计划系统不包括不同计划功能组成的计划系统</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79.下列关于施工成本控制的说法，正确的有(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A.施工成本控制应贯穿于项目从投标开始到工程竣工验收的全过程</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B.施工成本控制应对成本的形成过程进行分析，并寻求进一步降低成本的途径</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C.施工成本控制需按动态控制原理对实际施工成本的发生过程进行有效控制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D.进度报告、工程变更、索赔资料是施工成本控制过程中的动态资料</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E.施工成本控制是实现成本目标责任制的保证和实现决策目标的重要手段</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80.工程建设监理实施细则的内容包括(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A.专业工程的特点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B.监理工作的流程</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C.监理工作的性质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D.监理工作的方法和措施</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E.监理工作的控制要点及目标值</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各种施工合同示范文本一般由(</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)组成。</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A.协议书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B.通用条款</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C.专用条款</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D.图纸</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E.技术标准和要求</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82.采用单价合同对业主的不足之处包括(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A.需要承担价格的风险</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B.对投资控制不利</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C.协调工作量大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D.实际工程量可能超过预测的工程量</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E.业主需要安排专门力量来核实己经完成的工程量</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83.某分部工程双代号网络计划如下图所示，图中的错误有(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A.节点编号有误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B.工作代号重复</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C.有多个起点节点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D.有多个终点节点</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E.存在循环回路</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anchor distT="0" distB="0" distL="114300" distR="114300" simplePos="0" relativeHeight="251681792" behindDoc="1" locked="0" layoutInCell="0" allowOverlap="1">
            <wp:simplePos x="0" y="0"/>
            <wp:positionH relativeFrom="column">
              <wp:posOffset>35560</wp:posOffset>
            </wp:positionH>
            <wp:positionV relativeFrom="paragraph">
              <wp:posOffset>80010</wp:posOffset>
            </wp:positionV>
            <wp:extent cx="4304030" cy="1463040"/>
            <wp:effectExtent l="0" t="0" r="1270" b="381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4304030" cy="1463040"/>
                    </a:xfrm>
                    <a:prstGeom prst="rect">
                      <a:avLst/>
                    </a:prstGeom>
                    <a:noFill/>
                    <a:ln w="9525">
                      <a:noFill/>
                    </a:ln>
                  </pic:spPr>
                </pic:pic>
              </a:graphicData>
            </a:graphic>
          </wp:anchor>
        </w:drawing>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84.在工程网络计划中，关键工作是(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)的工作。</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A.总时差最小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B.关键线路上</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C.持续时间最长</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D.自由时差为零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E.两端节点为关键节点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85.对施工过程中质量验收不合格的处理方法有(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A.在检验批验收时，发现存在严重缺陷的应推倒重做</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B.个别检验批发现某些项目或指标不满足要求难以确定是否验收时，应请有资质的法定检测单位检测鉴定，当鉴定结果能够达到设计要求时，应予以验收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C.当检测鉴定达不到设计要求，但经原设计单位核算仍能满足结构安全和使用功能的检验批，可予以验收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D.严重质量缺陷或超过检验批范围内的缺陷，可按技术处理方案和协商文件进行验收，施工方承担经济责任</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E.通过返修或加固处理后仍不能满足安全使用要求的分部工程严禁验收</w:t>
      </w:r>
    </w:p>
    <w:p>
      <w:pPr>
        <w:rPr>
          <w:rFonts w:hint="eastAsia" w:asciiTheme="minorEastAsia" w:hAnsiTheme="minorEastAsia" w:eastAsiaTheme="minorEastAsia" w:cstheme="minorEastAsia"/>
        </w:rPr>
      </w:pP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86.在最大成本加费用合同中，投标人报一个工程成本总价和一个固定酬金，固定酬金包括</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A.管理费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B.临时设施费</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C.利润</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D.风险费</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E.暂定金额</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87.大型建设工程项目总进度目标论证的核心工作是通过编制总进度纲要论证总进度目标实现的可能性，总进度纲要的主要内容包括(</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A.项目实施的总体部署</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B.总进度规划</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C.单位工程进度计划</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D.里程碑事件的计划进度目标</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E.总进度目标实现的条件和应采取的措施</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88.某工程实际进度前锋线如下图，下列说法正确的是（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A.第 4 周末检查时工作 A 拖后 1 周，影响工期 1 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B.第 4 周末检查时工作 B 拖后 1 周，但不影响工期</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C.第 10 周末检查时工作 I 提前 1 周，可使工期提前 1 周D.在第 5 周到第 10 周内，工作 F 和工作 I 的实际进度正常</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E.第 10 周末检查时工作 G 拖后 1 周，但不影响工期</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fldChar w:fldCharType="begin"/>
      </w:r>
      <w:r>
        <w:rPr>
          <w:rFonts w:hint="eastAsia" w:asciiTheme="minorEastAsia" w:hAnsiTheme="minorEastAsia" w:eastAsiaTheme="minorEastAsia" w:cstheme="minorEastAsia"/>
          <w:lang w:val="en-US" w:eastAsia="zh-CN"/>
        </w:rPr>
        <w:instrText xml:space="preserve">INCLUDEPICTURE \d "C:\\Users\\wang\\AppData\\Roaming\\Tencent\\Users\\453517488\\QQ\\WinTemp\\RichOle\\)9WYV_J9Z{)2_TM6500M9FT.png" \* MERGEFORMATINET </w:instrText>
      </w:r>
      <w:r>
        <w:rPr>
          <w:rFonts w:hint="eastAsia" w:asciiTheme="minorEastAsia" w:hAnsiTheme="minorEastAsia" w:eastAsiaTheme="minorEastAsia" w:cstheme="minorEastAsia"/>
          <w:lang w:val="en-US" w:eastAsia="zh-CN"/>
        </w:rPr>
        <w:fldChar w:fldCharType="separate"/>
      </w:r>
      <w:r>
        <w:rPr>
          <w:rFonts w:hint="eastAsia" w:asciiTheme="minorEastAsia" w:hAnsiTheme="minorEastAsia" w:eastAsiaTheme="minorEastAsia" w:cstheme="minorEastAsia"/>
          <w:lang w:val="en-US" w:eastAsia="zh-CN"/>
        </w:rPr>
        <w:drawing>
          <wp:inline distT="0" distB="0" distL="114300" distR="114300">
            <wp:extent cx="4238625" cy="2085975"/>
            <wp:effectExtent l="0" t="0" r="9525" b="9525"/>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10" r:link="rId11"/>
                    <a:stretch>
                      <a:fillRect/>
                    </a:stretch>
                  </pic:blipFill>
                  <pic:spPr>
                    <a:xfrm>
                      <a:off x="0" y="0"/>
                      <a:ext cx="4238625" cy="2085975"/>
                    </a:xfrm>
                    <a:prstGeom prst="rect">
                      <a:avLst/>
                    </a:prstGeom>
                    <a:noFill/>
                    <a:ln w="9525">
                      <a:noFill/>
                    </a:ln>
                  </pic:spPr>
                </pic:pic>
              </a:graphicData>
            </a:graphic>
          </wp:inline>
        </w:drawing>
      </w:r>
      <w:r>
        <w:rPr>
          <w:rFonts w:hint="eastAsia" w:asciiTheme="minorEastAsia" w:hAnsiTheme="minorEastAsia" w:eastAsiaTheme="minorEastAsia" w:cstheme="minorEastAsia"/>
          <w:lang w:val="en-US" w:eastAsia="zh-CN"/>
        </w:rPr>
        <w:fldChar w:fldCharType="end"/>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89.下列质量风险对策的论述，不正确的是(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A.合理安排工期，避免可能发生的水灾，属于风险转移</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B.有针对性地制定和落实质量事故应急预案，属于风险减轻</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C.承包单位依法实行联合承包，属于风险减轻</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D.工程结算时，扣留一定质量保证金，属于风险承担</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E.在预算价格中预留一定的不可预见费，属于风险转移</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90.下列关于工程质量事故的分类，正确的是(</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A.造成 25 人死亡，120 人重伤，3000 万经济损失的质量事故，事故等级为重大质量事故</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B.由于工程负责人片面追求施工进度导致质量事故，属于操作责任事故</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C.结构设计计算错误导致的质量事故属于技术原因事故</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D.材料质量检验不严导致的质量事故属于管理原因事故</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E.施工企业盲目追求利润，不顾工程质量，导致的质量事故属于社会、经济原因事故</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91.从施工单位角度，对事故安全隐患的处理方法有(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A.跟踪验证</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B.根据工程的特点确保各项安全施工措施的落实</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C.分析统计，查找原因，制定预防措施</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D.做好记录，及时整改，消除安全隐患</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E.当场指正，限期纠正，预防隐患发生</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92.工程质量责任主体包括(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A.建设单位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B.质量检测单位</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C.设计单位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D.施工单位</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E.供货单位</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93.施工质量控制的项目专用性依据包括(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A.本项目的工程建设合同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B.勘察设计文件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C.设计交底及图纸会审记录</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D.设计修改和技术变更通知</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E.工程建设项目质量检验评定标准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94.职业健康安全和环境管理体系的相同点有(</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A.管理目标基本一致</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B.管理原理基本相同</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C.都规定具体绩效标准</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D.需要满足的对象基本相同</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E.管理的侧重点基本相同</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95.关于建设工程现场文明施工的措施说法中，正确的有( )。A.市区主要路段和其他涉及市容景观路段的工地围挡高度不得低于 1.8m B.施工现场作业区和办公、生活区必须明显划分</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C.作业区禁止随意吸烟</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D.现场不得焚烧有毒、有害物质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E.应该确立项目技术负责人为现场文明施工的第一责任人</w:t>
      </w:r>
    </w:p>
    <w:p>
      <w:pPr>
        <w:numPr>
          <w:ilvl w:val="0"/>
          <w:numId w:val="3"/>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下列关于工程变更指令的发出与执行，说法不正确的是(</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 xml:space="preserve"> )。</w:t>
      </w:r>
    </w:p>
    <w:p>
      <w:pPr>
        <w:numPr>
          <w:ilvl w:val="0"/>
          <w:numId w:val="0"/>
        </w:numPr>
        <w:rPr>
          <w:rFonts w:hint="eastAsia" w:asciiTheme="minorEastAsia" w:hAnsiTheme="minorEastAsia" w:eastAsiaTheme="minorEastAsia" w:cstheme="minorEastAsia"/>
        </w:rPr>
      </w:pPr>
      <w:r>
        <w:rPr>
          <w:rFonts w:hint="eastAsia" w:asciiTheme="minorEastAsia" w:hAnsiTheme="minorEastAsia" w:eastAsiaTheme="minorEastAsia" w:cstheme="minorEastAsia"/>
        </w:rPr>
        <w:t>A.只有承包商、业主方能提出工程变更</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B.承包人应先执行工程变更，后协商价格和工期</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C.工程变更指令必须以书面形式发出</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D.承包人对工程师给予的变更价款不满意，可以拒绝实施工程变更工作</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E.在变更价格和工期补偿未达成一致意见前，工程师可以先发布变更指令</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97.采用 DAB(争端裁决委员会)方式解决争议的优点主要在于(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A.DAB 委员可以在项目开始时就介入项目，了解项目情况</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B.DAB 委员的决定不带有任何主观倾向和偏见</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C.具有终局性</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D.周期短，费用较低</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E.裁决意见容易被争议双方所接受</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98.对建设工程索赔证据的基本要求包括(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A.可靠性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B.及时性</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C.关联性</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D.全面性</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E.有效性</w:t>
      </w:r>
      <w:r>
        <w:rPr>
          <w:rFonts w:hint="eastAsia" w:asciiTheme="minorEastAsia" w:hAnsiTheme="minorEastAsia" w:eastAsiaTheme="minorEastAsia" w:cstheme="minorEastAsia"/>
        </w:rPr>
        <w:tab/>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99.按照国际惯例，承包商可索赔的人工费包括(</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A.施工组织不当导致的人员窝工费</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B.法定人工费增长</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C.超过法定工作时间加班劳动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D.非承包商责任的工效降低所增加的人工费用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E.完成合同之外的额外工作所花费的人工费用</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100.项目信息门户实施的条件包括(</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eastAsia="zh-CN"/>
        </w:rPr>
        <w:t>。</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A.硬件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B.软件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C.组织件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D.技术件</w:t>
      </w:r>
    </w:p>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E.教育件</w:t>
      </w:r>
      <w:r>
        <w:rPr>
          <w:rFonts w:hint="eastAsia" w:asciiTheme="minorEastAsia" w:hAnsiTheme="minorEastAsia" w:eastAsiaTheme="minorEastAsia" w:cstheme="minorEastAsia"/>
        </w:rPr>
        <w:tab/>
      </w:r>
    </w:p>
    <w:p>
      <w:pPr>
        <w:spacing w:line="0" w:lineRule="atLeast"/>
        <w:ind w:left="2120"/>
        <w:rPr>
          <w:rFonts w:ascii="宋体" w:hAnsi="宋体" w:eastAsia="宋体"/>
          <w:b/>
          <w:sz w:val="32"/>
        </w:rPr>
      </w:pPr>
      <w:r>
        <w:rPr>
          <w:rFonts w:ascii="宋体" w:hAnsi="宋体" w:eastAsia="宋体"/>
          <w:b/>
          <w:sz w:val="32"/>
        </w:rPr>
        <w:t>2016一级建造师模考题参考答案</w:t>
      </w:r>
    </w:p>
    <w:p>
      <w:pPr>
        <w:spacing w:line="284" w:lineRule="exact"/>
        <w:rPr>
          <w:rFonts w:ascii="Times New Roman" w:hAnsi="Times New Roman" w:eastAsia="Times New Roman"/>
          <w:sz w:val="24"/>
        </w:rPr>
      </w:pPr>
    </w:p>
    <w:p>
      <w:pPr>
        <w:spacing w:line="0" w:lineRule="atLeast"/>
        <w:jc w:val="center"/>
        <w:rPr>
          <w:rFonts w:ascii="宋体" w:hAnsi="宋体" w:eastAsia="宋体"/>
          <w:b/>
          <w:sz w:val="28"/>
        </w:rPr>
      </w:pPr>
      <w:r>
        <w:rPr>
          <w:rFonts w:ascii="宋体" w:hAnsi="宋体" w:eastAsia="宋体"/>
          <w:b/>
          <w:sz w:val="28"/>
        </w:rPr>
        <w:t>《建设工程项目管理》</w:t>
      </w:r>
    </w:p>
    <w:p>
      <w:pPr>
        <w:spacing w:line="221" w:lineRule="exact"/>
        <w:rPr>
          <w:rFonts w:ascii="Times New Roman" w:hAnsi="Times New Roman" w:eastAsia="Times New Roman"/>
          <w:sz w:val="24"/>
        </w:rPr>
      </w:pPr>
    </w:p>
    <w:p>
      <w:pPr>
        <w:spacing w:line="239" w:lineRule="auto"/>
        <w:rPr>
          <w:rFonts w:ascii="宋体" w:hAnsi="宋体" w:eastAsia="宋体"/>
          <w:b/>
          <w:sz w:val="21"/>
        </w:rPr>
      </w:pPr>
      <w:r>
        <w:rPr>
          <w:rFonts w:ascii="宋体" w:hAnsi="宋体" w:eastAsia="宋体"/>
          <w:b/>
          <w:sz w:val="21"/>
        </w:rPr>
        <w:t>一、单项选择题（共 70 题，每题 1 分。每题的备选项中，只有 1 个最符合题意）</w:t>
      </w:r>
    </w:p>
    <w:p>
      <w:pPr>
        <w:spacing w:line="65" w:lineRule="exact"/>
        <w:rPr>
          <w:rFonts w:ascii="Times New Roman" w:hAnsi="Times New Roman" w:eastAsia="Times New Roman"/>
          <w:sz w:val="24"/>
        </w:rPr>
      </w:pPr>
    </w:p>
    <w:tbl>
      <w:tblPr>
        <w:tblStyle w:val="5"/>
        <w:tblpPr w:leftFromText="180" w:rightFromText="180" w:vertAnchor="text" w:horzAnchor="page" w:tblpX="1249" w:tblpY="147"/>
        <w:tblOverlap w:val="never"/>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0"/>
        <w:gridCol w:w="1000"/>
        <w:gridCol w:w="980"/>
        <w:gridCol w:w="980"/>
        <w:gridCol w:w="980"/>
        <w:gridCol w:w="1000"/>
        <w:gridCol w:w="980"/>
        <w:gridCol w:w="980"/>
        <w:gridCol w:w="980"/>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1000" w:type="dxa"/>
            <w:tcBorders>
              <w:top w:val="single" w:color="auto" w:sz="8" w:space="0"/>
              <w:left w:val="single" w:color="auto" w:sz="8" w:space="0"/>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1</w:t>
            </w:r>
          </w:p>
        </w:tc>
        <w:tc>
          <w:tcPr>
            <w:tcW w:w="100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2</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3</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4</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5</w:t>
            </w:r>
          </w:p>
        </w:tc>
        <w:tc>
          <w:tcPr>
            <w:tcW w:w="100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6</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7</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8</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9</w:t>
            </w:r>
          </w:p>
        </w:tc>
        <w:tc>
          <w:tcPr>
            <w:tcW w:w="100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1" w:hRule="atLeast"/>
        </w:trPr>
        <w:tc>
          <w:tcPr>
            <w:tcW w:w="1000" w:type="dxa"/>
            <w:tcBorders>
              <w:left w:val="single" w:color="auto" w:sz="8" w:space="0"/>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A</w:t>
            </w:r>
          </w:p>
        </w:tc>
        <w:tc>
          <w:tcPr>
            <w:tcW w:w="1000" w:type="dxa"/>
            <w:tcBorders>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B</w:t>
            </w:r>
          </w:p>
        </w:tc>
        <w:tc>
          <w:tcPr>
            <w:tcW w:w="100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D</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B</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11</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12</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13</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14</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15</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16</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17</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18</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19</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1000" w:type="dxa"/>
            <w:tcBorders>
              <w:left w:val="single" w:color="auto" w:sz="8" w:space="0"/>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C</w:t>
            </w:r>
          </w:p>
        </w:tc>
        <w:tc>
          <w:tcPr>
            <w:tcW w:w="1000" w:type="dxa"/>
            <w:tcBorders>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100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D</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21</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22</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23</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24</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25</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26</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27</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28</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29</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9" w:hRule="atLeast"/>
        </w:trPr>
        <w:tc>
          <w:tcPr>
            <w:tcW w:w="1000" w:type="dxa"/>
            <w:tcBorders>
              <w:left w:val="single" w:color="auto" w:sz="8" w:space="0"/>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C</w:t>
            </w:r>
          </w:p>
        </w:tc>
        <w:tc>
          <w:tcPr>
            <w:tcW w:w="1000" w:type="dxa"/>
            <w:tcBorders>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D</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D</w:t>
            </w:r>
          </w:p>
        </w:tc>
        <w:tc>
          <w:tcPr>
            <w:tcW w:w="100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9"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31</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32</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33</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34</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35</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36</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37</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38</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39</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3" w:hRule="atLeast"/>
        </w:trPr>
        <w:tc>
          <w:tcPr>
            <w:tcW w:w="1000" w:type="dxa"/>
            <w:tcBorders>
              <w:left w:val="single" w:color="auto" w:sz="8" w:space="0"/>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B</w:t>
            </w:r>
          </w:p>
        </w:tc>
        <w:tc>
          <w:tcPr>
            <w:tcW w:w="1000" w:type="dxa"/>
            <w:tcBorders>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100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D</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C</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3"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41</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42</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43</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44</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45</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46</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47</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48</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49</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0" w:type="dxa"/>
            <w:tcBorders>
              <w:left w:val="single" w:color="auto" w:sz="8" w:space="0"/>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A</w:t>
            </w:r>
          </w:p>
        </w:tc>
        <w:tc>
          <w:tcPr>
            <w:tcW w:w="1000" w:type="dxa"/>
            <w:tcBorders>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D</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B</w:t>
            </w:r>
          </w:p>
        </w:tc>
        <w:tc>
          <w:tcPr>
            <w:tcW w:w="100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D</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D</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51</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52</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53</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54</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55</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56</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57</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58</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59</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1000" w:type="dxa"/>
            <w:tcBorders>
              <w:left w:val="single" w:color="auto" w:sz="8" w:space="0"/>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B</w:t>
            </w:r>
          </w:p>
        </w:tc>
        <w:tc>
          <w:tcPr>
            <w:tcW w:w="1000" w:type="dxa"/>
            <w:tcBorders>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D</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D</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100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B</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D</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1"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61</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62</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63</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64</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65</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66</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67</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68</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69</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1" w:hRule="atLeast"/>
        </w:trPr>
        <w:tc>
          <w:tcPr>
            <w:tcW w:w="1000" w:type="dxa"/>
            <w:tcBorders>
              <w:left w:val="single" w:color="auto" w:sz="8" w:space="0"/>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B</w:t>
            </w:r>
          </w:p>
        </w:tc>
        <w:tc>
          <w:tcPr>
            <w:tcW w:w="1000" w:type="dxa"/>
            <w:tcBorders>
              <w:right w:val="single" w:color="auto" w:sz="8" w:space="0"/>
            </w:tcBorders>
            <w:shd w:val="clear" w:color="auto" w:fill="auto"/>
            <w:vAlign w:val="bottom"/>
          </w:tcPr>
          <w:p>
            <w:pPr>
              <w:spacing w:line="239" w:lineRule="exact"/>
              <w:ind w:left="440"/>
              <w:rPr>
                <w:rFonts w:ascii="宋体" w:hAnsi="宋体" w:eastAsia="宋体"/>
                <w:sz w:val="21"/>
              </w:rPr>
            </w:pPr>
            <w:r>
              <w:rPr>
                <w:rFonts w:ascii="宋体" w:hAnsi="宋体" w:eastAsia="宋体"/>
                <w:sz w:val="21"/>
              </w:rPr>
              <w:t>D</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D</w:t>
            </w:r>
          </w:p>
        </w:tc>
        <w:tc>
          <w:tcPr>
            <w:tcW w:w="100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C</w:t>
            </w:r>
          </w:p>
        </w:tc>
        <w:tc>
          <w:tcPr>
            <w:tcW w:w="980" w:type="dxa"/>
            <w:tcBorders>
              <w:right w:val="single" w:color="auto" w:sz="8" w:space="0"/>
            </w:tcBorders>
            <w:shd w:val="clear" w:color="auto" w:fill="auto"/>
            <w:vAlign w:val="bottom"/>
          </w:tcPr>
          <w:p>
            <w:pPr>
              <w:spacing w:line="239" w:lineRule="exact"/>
              <w:ind w:left="420"/>
              <w:rPr>
                <w:rFonts w:ascii="宋体" w:hAnsi="宋体" w:eastAsia="宋体"/>
                <w:sz w:val="21"/>
              </w:rPr>
            </w:pPr>
            <w:r>
              <w:rPr>
                <w:rFonts w:ascii="宋体" w:hAnsi="宋体" w:eastAsia="宋体"/>
                <w:sz w:val="21"/>
              </w:rPr>
              <w:t>A</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D</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A</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4"/>
              </w:rPr>
            </w:pPr>
          </w:p>
        </w:tc>
      </w:tr>
    </w:tbl>
    <w:p>
      <w:pPr>
        <w:spacing w:line="83" w:lineRule="exact"/>
        <w:rPr>
          <w:rFonts w:ascii="Times New Roman" w:hAnsi="Times New Roman" w:eastAsia="Times New Roman"/>
          <w:sz w:val="24"/>
        </w:rPr>
      </w:pPr>
    </w:p>
    <w:p>
      <w:pPr>
        <w:spacing w:line="333" w:lineRule="auto"/>
        <w:ind w:left="120" w:right="60"/>
        <w:jc w:val="both"/>
        <w:rPr>
          <w:rFonts w:ascii="宋体" w:hAnsi="宋体" w:eastAsia="宋体"/>
          <w:b/>
          <w:sz w:val="21"/>
        </w:rPr>
      </w:pPr>
    </w:p>
    <w:p>
      <w:pPr>
        <w:spacing w:line="333" w:lineRule="auto"/>
        <w:ind w:right="60"/>
        <w:jc w:val="both"/>
        <w:rPr>
          <w:rFonts w:ascii="宋体" w:hAnsi="宋体" w:eastAsia="宋体"/>
          <w:b/>
          <w:sz w:val="21"/>
        </w:rPr>
      </w:pPr>
      <w:r>
        <w:rPr>
          <w:rFonts w:ascii="宋体" w:hAnsi="宋体" w:eastAsia="宋体"/>
          <w:b/>
          <w:sz w:val="21"/>
        </w:rPr>
        <w:t>二、多项选择题（共 30 题，每题 2 分。每题的备选项中，有 2 个或 2 个以上符合题意，至少有一个错项。错选，本题不得分；少选，所选的每个选项得 0.5 分）</w:t>
      </w:r>
    </w:p>
    <w:tbl>
      <w:tblPr>
        <w:tblStyle w:val="5"/>
        <w:tblpPr w:leftFromText="180" w:rightFromText="180" w:vertAnchor="text" w:horzAnchor="page" w:tblpX="1279" w:tblpY="531"/>
        <w:tblOverlap w:val="never"/>
        <w:tblW w:w="9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0"/>
        <w:gridCol w:w="1000"/>
        <w:gridCol w:w="980"/>
        <w:gridCol w:w="980"/>
        <w:gridCol w:w="980"/>
        <w:gridCol w:w="1000"/>
        <w:gridCol w:w="1040"/>
        <w:gridCol w:w="980"/>
        <w:gridCol w:w="1000"/>
        <w:gridCol w:w="9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00" w:type="dxa"/>
            <w:tcBorders>
              <w:top w:val="single" w:color="auto" w:sz="8" w:space="0"/>
              <w:left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71</w:t>
            </w:r>
          </w:p>
        </w:tc>
        <w:tc>
          <w:tcPr>
            <w:tcW w:w="100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72</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73</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74</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75</w:t>
            </w:r>
          </w:p>
        </w:tc>
        <w:tc>
          <w:tcPr>
            <w:tcW w:w="100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76</w:t>
            </w:r>
          </w:p>
        </w:tc>
        <w:tc>
          <w:tcPr>
            <w:tcW w:w="104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77</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78</w:t>
            </w:r>
          </w:p>
        </w:tc>
        <w:tc>
          <w:tcPr>
            <w:tcW w:w="100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79</w:t>
            </w:r>
          </w:p>
        </w:tc>
        <w:tc>
          <w:tcPr>
            <w:tcW w:w="98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ACE</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ADE</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ABCD</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BCDE</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AC</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ABCD</w:t>
            </w:r>
          </w:p>
        </w:tc>
        <w:tc>
          <w:tcPr>
            <w:tcW w:w="104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AB</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BCD</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CD</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ABDE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81</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82</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83</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84</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85</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86</w:t>
            </w:r>
          </w:p>
        </w:tc>
        <w:tc>
          <w:tcPr>
            <w:tcW w:w="104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87</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88</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89</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2"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ABC</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BCDE</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ADE</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AB</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ABC</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ACD</w:t>
            </w:r>
          </w:p>
        </w:tc>
        <w:tc>
          <w:tcPr>
            <w:tcW w:w="104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ABDE</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AE</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ACDE</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CDE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91</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92</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93</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94</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95</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96</w:t>
            </w:r>
          </w:p>
        </w:tc>
        <w:tc>
          <w:tcPr>
            <w:tcW w:w="104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97</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98</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99</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5"/>
                <w:sz w:val="21"/>
              </w:rPr>
            </w:pPr>
            <w:r>
              <w:rPr>
                <w:rFonts w:ascii="宋体" w:hAnsi="宋体" w:eastAsia="宋体"/>
                <w:w w:val="95"/>
                <w:sz w:val="21"/>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3"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1" w:hRule="atLeast"/>
        </w:trPr>
        <w:tc>
          <w:tcPr>
            <w:tcW w:w="100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ACDE</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ACD</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ABCD</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AB</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BCD</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ACD</w:t>
            </w:r>
          </w:p>
        </w:tc>
        <w:tc>
          <w:tcPr>
            <w:tcW w:w="104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ABDE</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BCDE</w:t>
            </w:r>
          </w:p>
        </w:tc>
        <w:tc>
          <w:tcPr>
            <w:tcW w:w="100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BCDE</w:t>
            </w:r>
          </w:p>
        </w:tc>
        <w:tc>
          <w:tcPr>
            <w:tcW w:w="98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ABCE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 w:hRule="atLeast"/>
        </w:trPr>
        <w:tc>
          <w:tcPr>
            <w:tcW w:w="100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10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c>
          <w:tcPr>
            <w:tcW w:w="98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7"/>
              </w:rPr>
            </w:pPr>
          </w:p>
        </w:tc>
      </w:tr>
    </w:tbl>
    <w:p>
      <w:pPr>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anchor distT="0" distB="0" distL="114300" distR="114300" simplePos="0" relativeHeight="251701248" behindDoc="1" locked="0" layoutInCell="0" allowOverlap="1">
            <wp:simplePos x="0" y="0"/>
            <wp:positionH relativeFrom="column">
              <wp:posOffset>7848600</wp:posOffset>
            </wp:positionH>
            <wp:positionV relativeFrom="paragraph">
              <wp:posOffset>540385</wp:posOffset>
            </wp:positionV>
            <wp:extent cx="5803265" cy="3483610"/>
            <wp:effectExtent l="0" t="0" r="6985" b="254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5803265" cy="3483610"/>
                    </a:xfrm>
                    <a:prstGeom prst="rect">
                      <a:avLst/>
                    </a:prstGeom>
                    <a:noFill/>
                    <a:ln w="9525">
                      <a:noFill/>
                    </a:ln>
                  </pic:spPr>
                </pic:pic>
              </a:graphicData>
            </a:graphic>
          </wp:anchor>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BF0C5"/>
    <w:multiLevelType w:val="singleLevel"/>
    <w:tmpl w:val="57ABF0C5"/>
    <w:lvl w:ilvl="0" w:tentative="0">
      <w:start w:val="24"/>
      <w:numFmt w:val="decimal"/>
      <w:suff w:val="nothing"/>
      <w:lvlText w:val="%1."/>
      <w:lvlJc w:val="left"/>
    </w:lvl>
  </w:abstractNum>
  <w:abstractNum w:abstractNumId="1">
    <w:nsid w:val="57ABF1EE"/>
    <w:multiLevelType w:val="singleLevel"/>
    <w:tmpl w:val="57ABF1EE"/>
    <w:lvl w:ilvl="0" w:tentative="0">
      <w:start w:val="96"/>
      <w:numFmt w:val="decimal"/>
      <w:suff w:val="nothing"/>
      <w:lvlText w:val="%1."/>
      <w:lvlJc w:val="left"/>
    </w:lvl>
  </w:abstractNum>
  <w:abstractNum w:abstractNumId="2">
    <w:nsid w:val="57ABF276"/>
    <w:multiLevelType w:val="singleLevel"/>
    <w:tmpl w:val="57ABF276"/>
    <w:lvl w:ilvl="0" w:tentative="0">
      <w:start w:val="2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57742"/>
    <w:rsid w:val="0487186F"/>
    <w:rsid w:val="05F22C06"/>
    <w:rsid w:val="065A2C5A"/>
    <w:rsid w:val="0BB63177"/>
    <w:rsid w:val="0BD94CA5"/>
    <w:rsid w:val="0F0B7F51"/>
    <w:rsid w:val="119A7CBE"/>
    <w:rsid w:val="11B422E3"/>
    <w:rsid w:val="18C26803"/>
    <w:rsid w:val="1B612905"/>
    <w:rsid w:val="1B827C8F"/>
    <w:rsid w:val="209E244E"/>
    <w:rsid w:val="21A74F4E"/>
    <w:rsid w:val="225A29C4"/>
    <w:rsid w:val="238D4149"/>
    <w:rsid w:val="2A512683"/>
    <w:rsid w:val="2CBF7911"/>
    <w:rsid w:val="2FA43F95"/>
    <w:rsid w:val="32D91045"/>
    <w:rsid w:val="346C00ED"/>
    <w:rsid w:val="39BF55BB"/>
    <w:rsid w:val="3A9E49F6"/>
    <w:rsid w:val="3BDD59E4"/>
    <w:rsid w:val="3E8F1249"/>
    <w:rsid w:val="4AA96D40"/>
    <w:rsid w:val="4CDB2E3E"/>
    <w:rsid w:val="50AF2B58"/>
    <w:rsid w:val="5BB51A82"/>
    <w:rsid w:val="5CE90885"/>
    <w:rsid w:val="5D9F114D"/>
    <w:rsid w:val="61115083"/>
    <w:rsid w:val="612F55DD"/>
    <w:rsid w:val="678F1068"/>
    <w:rsid w:val="697C4438"/>
    <w:rsid w:val="6ECF6B61"/>
    <w:rsid w:val="6F7332C0"/>
    <w:rsid w:val="6FE357AA"/>
    <w:rsid w:val="70A57742"/>
    <w:rsid w:val="71827ED1"/>
    <w:rsid w:val="71ED6FB3"/>
    <w:rsid w:val="730E46BC"/>
    <w:rsid w:val="767518F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szCs w:val="22"/>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C:\Users\wang\AppData\Roaming\Tencent\Users\453517488\QQ\WinTemp\RichOle\TKAO0)~JRCQ6208PJSBV50S.png" TargetMode="Externa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jpeg"/><Relationship Id="rId11" Type="http://schemas.openxmlformats.org/officeDocument/2006/relationships/image" Target="C:\Users\wang\AppData\Roaming\Tencent\Users\453517488\QQ\WinTemp\RichOle\)9WYV_J9Z{)2_TM6500M9FT.png" TargetMode="Externa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2016-08-11T03:01:00Z</dcterms:created>
  <dc:creator>wang</dc:creator>
  <cp:lastModifiedBy>wang</cp:lastModifiedBy>
  <dcterms:modified xsi:type="dcterms:W3CDTF">2016-08-11T03:37:26Z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