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200"/>
        <w:jc w:val="center"/>
        <w:rPr>
          <w:b/>
          <w:bCs/>
          <w:sz w:val="28"/>
          <w:szCs w:val="28"/>
        </w:rPr>
      </w:pPr>
      <w:r>
        <w:rPr>
          <w:b/>
          <w:bCs/>
          <w:sz w:val="28"/>
          <w:szCs w:val="28"/>
        </w:rPr>
        <w:t>2016 年一级建造师模考</w:t>
      </w:r>
      <w:bookmarkStart w:id="0" w:name="_GoBack"/>
      <w:bookmarkEnd w:id="0"/>
    </w:p>
    <w:p>
      <w:pPr>
        <w:ind w:firstLine="0" w:firstLineChars="200"/>
        <w:jc w:val="center"/>
        <w:rPr>
          <w:b/>
          <w:bCs/>
          <w:sz w:val="28"/>
          <w:szCs w:val="28"/>
        </w:rPr>
      </w:pPr>
      <w:r>
        <w:rPr>
          <w:b/>
          <w:bCs/>
          <w:sz w:val="28"/>
          <w:szCs w:val="28"/>
        </w:rPr>
        <w:t>《建设工程经济》</w:t>
      </w:r>
    </w:p>
    <w:p>
      <w:pPr>
        <w:spacing w:line="24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一、单项选择题（共 60 题，每题 1 分，每题的备选项中，只有一个最符合题意）</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在社会平均利润率不变的情况下，利率高低取决于（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通货膨胀率的高低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金融市场上借贷资本的供求情况</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投资人的意愿</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D. 政府的要求</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2.下列关于名义利率和有效利率说法中，正确的是（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当计息周期等于一年时，名义利率和有效利率是一致的</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当计息周期小于一年时，名义利率和有效利率是一致的</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当计息周期小于一年时，名义利率大于有效利率</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 当计息周期等于一年时，名义利率小于有效利率</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3.某购房人从银行贷款 50 万元，贷款期限 10 年，按月等额还本付息，贷款年利率 6%，每月计息一次，其每月应向银行还款的数额为（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4917</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B.5551</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7462</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D.7581</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4.某施工企业现在向银行借款 600000 元，借款期 6 年，年利率 7％，半年计息并支付利息，到期还本，则该施工企业 6 年共支付的借款利息金额为（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）元。</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142000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B. 128000</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252000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D. 136000</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5.技术方案经济效果评价是对（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）进行分析论证。</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技术方案的国民经济效益费用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方案技术合理性</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方案的财务可行性和经济合理性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技术方案的融资前景</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6.在技术方案经济效果评价中，对于非经营性项目，财务分析应主要分析项目的（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盈利能力</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偿债能力</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资本金净利率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D. 财务生存能力</w:t>
      </w:r>
    </w:p>
    <w:p>
      <w:pPr>
        <w:tabs>
          <w:tab w:val="left" w:pos="3920"/>
          <w:tab w:val="left" w:pos="5360"/>
          <w:tab w:val="left" w:pos="6420"/>
          <w:tab w:val="left" w:pos="7480"/>
          <w:tab w:val="left" w:pos="7560"/>
          <w:tab w:val="left" w:pos="8160"/>
          <w:tab w:val="left" w:pos="85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7.投资项目的盈利能力越强，则（</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）越大。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220"/>
          <w:tab w:val="left" w:pos="3920"/>
          <w:tab w:val="left" w:pos="4280"/>
          <w:tab w:val="left" w:pos="7560"/>
          <w:tab w:val="left" w:pos="8160"/>
          <w:tab w:val="left" w:pos="85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动态投资回收期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盈亏平衡产销量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2440"/>
          <w:tab w:val="left" w:pos="3220"/>
          <w:tab w:val="left" w:pos="3920"/>
          <w:tab w:val="left" w:pos="4280"/>
          <w:tab w:val="left" w:pos="6420"/>
          <w:tab w:val="left" w:pos="7480"/>
          <w:tab w:val="left" w:pos="7560"/>
          <w:tab w:val="left" w:pos="8160"/>
          <w:tab w:val="left" w:pos="85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财务净现值</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利息备付率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numPr>
          <w:ilvl w:val="0"/>
          <w:numId w:val="1"/>
        </w:numPr>
        <w:tabs>
          <w:tab w:val="left" w:pos="81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某建设项目财务现金流量表数据如下，则该项目的静态投资回收期为（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）年。</w:t>
      </w:r>
    </w:p>
    <w:p>
      <w:pPr>
        <w:numPr>
          <w:ilvl w:val="0"/>
          <w:numId w:val="0"/>
        </w:numPr>
        <w:tabs>
          <w:tab w:val="left" w:pos="81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单位：万元。</w:t>
      </w:r>
    </w:p>
    <w:p>
      <w:pPr>
        <w:spacing w:line="240" w:lineRule="auto"/>
        <w:ind w:firstLine="0" w:firstLineChars="200"/>
        <w:rPr>
          <w:rFonts w:hint="eastAsia" w:asciiTheme="minorEastAsia" w:hAnsiTheme="minorEastAsia" w:eastAsiaTheme="minorEastAsia" w:cstheme="minorEastAsia"/>
        </w:rPr>
      </w:pPr>
    </w:p>
    <w:p>
      <w:pPr>
        <w:spacing w:line="240" w:lineRule="auto"/>
        <w:ind w:firstLine="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399915" cy="94297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399915" cy="942975"/>
                    </a:xfrm>
                    <a:prstGeom prst="rect">
                      <a:avLst/>
                    </a:prstGeom>
                    <a:noFill/>
                    <a:ln w="9525">
                      <a:noFill/>
                    </a:ln>
                  </pic:spPr>
                </pic:pic>
              </a:graphicData>
            </a:graphic>
          </wp:inline>
        </w:drawing>
      </w:r>
    </w:p>
    <w:p>
      <w:pPr>
        <w:tabs>
          <w:tab w:val="left" w:pos="2440"/>
          <w:tab w:val="left" w:pos="3220"/>
          <w:tab w:val="left" w:pos="3920"/>
          <w:tab w:val="left" w:pos="4280"/>
          <w:tab w:val="left" w:pos="5360"/>
          <w:tab w:val="left" w:pos="6420"/>
          <w:tab w:val="left" w:pos="7480"/>
          <w:tab w:val="left" w:pos="7560"/>
          <w:tab w:val="left" w:pos="8160"/>
          <w:tab w:val="left" w:pos="85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4</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2440"/>
          <w:tab w:val="left" w:pos="3220"/>
          <w:tab w:val="left" w:pos="3920"/>
          <w:tab w:val="left" w:pos="4280"/>
          <w:tab w:val="left" w:pos="6420"/>
          <w:tab w:val="left" w:pos="7480"/>
          <w:tab w:val="left" w:pos="7560"/>
          <w:tab w:val="left" w:pos="8160"/>
          <w:tab w:val="left" w:pos="85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5.21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5.56</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5360"/>
          <w:tab w:val="left" w:pos="6420"/>
          <w:tab w:val="left" w:pos="7480"/>
          <w:tab w:val="left" w:pos="7560"/>
          <w:tab w:val="left" w:pos="8160"/>
          <w:tab w:val="left" w:pos="85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9.关于财务净现值指标，下列说法错误的是（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5360"/>
          <w:tab w:val="left" w:pos="6420"/>
          <w:tab w:val="left" w:pos="7480"/>
          <w:tab w:val="left" w:pos="7560"/>
          <w:tab w:val="left" w:pos="8160"/>
          <w:tab w:val="left" w:pos="85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FNPV&lt;0，该项目一定是亏损的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1100"/>
          <w:tab w:val="left" w:pos="3920"/>
          <w:tab w:val="left" w:pos="4280"/>
          <w:tab w:val="left" w:pos="5360"/>
          <w:tab w:val="left" w:pos="6420"/>
          <w:tab w:val="left" w:pos="7480"/>
          <w:tab w:val="left" w:pos="7560"/>
          <w:tab w:val="left" w:pos="8160"/>
          <w:tab w:val="left" w:pos="85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B.一般用于独立方案的评价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C. FNPV 不能真正反映项目投资中单位投资的使用效率 </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 对于独立方案，应用 FIRR 评价与应用 FNPV 评价其结论是一致的</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10.某建设项目的现金流量为常规现金流量，当基准收益率为 7%时，其财务净现值为 500 万元。若基准收益率变为 9%时，该建设项目的财务净现值将（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tabs>
          <w:tab w:val="left" w:pos="4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大于 500 万元</w:t>
      </w:r>
      <w:r>
        <w:rPr>
          <w:rFonts w:hint="eastAsia" w:asciiTheme="minorEastAsia" w:hAnsiTheme="minorEastAsia" w:eastAsiaTheme="minorEastAsia" w:cstheme="minorEastAsia"/>
        </w:rPr>
        <w:tab/>
      </w:r>
    </w:p>
    <w:p>
      <w:pPr>
        <w:tabs>
          <w:tab w:val="left" w:pos="4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 仍然等于 500 万元</w:t>
      </w:r>
    </w:p>
    <w:p>
      <w:pPr>
        <w:tabs>
          <w:tab w:val="left" w:pos="4040"/>
          <w:tab w:val="left" w:pos="60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小于 500 万元</w:t>
      </w:r>
      <w:r>
        <w:rPr>
          <w:rFonts w:hint="eastAsia" w:asciiTheme="minorEastAsia" w:hAnsiTheme="minorEastAsia" w:eastAsiaTheme="minorEastAsia" w:cstheme="minorEastAsia"/>
        </w:rPr>
        <w:tab/>
      </w:r>
    </w:p>
    <w:p>
      <w:pPr>
        <w:tabs>
          <w:tab w:val="left" w:pos="4040"/>
          <w:tab w:val="left" w:pos="60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 无法确定</w:t>
      </w:r>
      <w:r>
        <w:rPr>
          <w:rFonts w:hint="eastAsia" w:asciiTheme="minorEastAsia" w:hAnsiTheme="minorEastAsia" w:eastAsiaTheme="minorEastAsia" w:cstheme="minorEastAsia"/>
        </w:rPr>
        <w:tab/>
      </w:r>
    </w:p>
    <w:p>
      <w:pPr>
        <w:tabs>
          <w:tab w:val="left" w:pos="60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11.导致建设项目产生不确定性的原因很多，但不包括（</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tabs>
          <w:tab w:val="left" w:pos="4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评价方法的选择</w:t>
      </w:r>
      <w:r>
        <w:rPr>
          <w:rFonts w:hint="eastAsia" w:asciiTheme="minorEastAsia" w:hAnsiTheme="minorEastAsia" w:eastAsiaTheme="minorEastAsia" w:cstheme="minorEastAsia"/>
        </w:rPr>
        <w:tab/>
      </w:r>
    </w:p>
    <w:p>
      <w:pPr>
        <w:tabs>
          <w:tab w:val="left" w:pos="4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 预测的假设不准确</w:t>
      </w:r>
    </w:p>
    <w:p>
      <w:pPr>
        <w:tabs>
          <w:tab w:val="left" w:pos="4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未来市场供求结构的变化</w:t>
      </w:r>
      <w:r>
        <w:rPr>
          <w:rFonts w:hint="eastAsia" w:asciiTheme="minorEastAsia" w:hAnsiTheme="minorEastAsia" w:eastAsiaTheme="minorEastAsia" w:cstheme="minorEastAsia"/>
        </w:rPr>
        <w:tab/>
      </w:r>
    </w:p>
    <w:p>
      <w:pPr>
        <w:tabs>
          <w:tab w:val="left" w:pos="4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 国际政治经济形势变化</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12.某商品住宅开发项目，市场预测售价为 6000 元/平米，变动成本为 2000 元/平米，固定成本为 1000 万元，销售税金及附加为 200 元/平米。若要使预期利润为 5000 万元，则此项目应开发约（ ）平米商品住宅。</w:t>
      </w:r>
    </w:p>
    <w:p>
      <w:pPr>
        <w:tabs>
          <w:tab w:val="left" w:pos="43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26320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15790</w:t>
      </w:r>
    </w:p>
    <w:p>
      <w:pPr>
        <w:tabs>
          <w:tab w:val="left" w:pos="43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40000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54230</w:t>
      </w:r>
    </w:p>
    <w:p>
      <w:pPr>
        <w:tabs>
          <w:tab w:val="left" w:pos="51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13.在敏感性分析中，下列因素中最敏感的是（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tabs>
          <w:tab w:val="left" w:pos="43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产品价格下降 30%，使 NPV=0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B.经营成本上升 50%,使 NPV=0</w:t>
      </w:r>
    </w:p>
    <w:p>
      <w:pPr>
        <w:tabs>
          <w:tab w:val="left" w:pos="43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寿命缩短 80%，使 NPV=0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D.投资增加 120%，使 NPV=0</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14.在技术方案投资中的流动资金系指运营期内长期占用并周转的营运资金，其估算基础是（ ）。</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建设投资和建设期贷款利息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投资风险和基准收益率</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经营成本和商业信用</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营业收入和投资</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15.某设备 5 年前的原始成本为 100000 元，5 年共计折旧 60000 元，目前的市场价值为 26000元，如果现在进行设备更新决策，则该设备发生的沉没成本为（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）元。</w:t>
      </w:r>
    </w:p>
    <w:p>
      <w:pPr>
        <w:tabs>
          <w:tab w:val="left" w:pos="3120"/>
          <w:tab w:val="left" w:pos="6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100000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40000</w:t>
      </w:r>
      <w:r>
        <w:rPr>
          <w:rFonts w:hint="eastAsia" w:asciiTheme="minorEastAsia" w:hAnsiTheme="minorEastAsia" w:eastAsiaTheme="minorEastAsia" w:cstheme="minorEastAsia"/>
        </w:rPr>
        <w:tab/>
      </w:r>
    </w:p>
    <w:p>
      <w:pPr>
        <w:tabs>
          <w:tab w:val="left" w:pos="3120"/>
          <w:tab w:val="left" w:pos="6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26000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14000</w:t>
      </w:r>
      <w:r>
        <w:rPr>
          <w:rFonts w:hint="eastAsia" w:asciiTheme="minorEastAsia" w:hAnsiTheme="minorEastAsia" w:eastAsiaTheme="minorEastAsia" w:cstheme="minorEastAsia"/>
        </w:rPr>
        <w:tab/>
      </w:r>
    </w:p>
    <w:p>
      <w:pPr>
        <w:tabs>
          <w:tab w:val="left" w:pos="3120"/>
          <w:tab w:val="left" w:pos="6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16.设备的现代化改造是以（</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）为主要目的。</w:t>
      </w:r>
      <w:r>
        <w:rPr>
          <w:rFonts w:hint="eastAsia" w:asciiTheme="minorEastAsia" w:hAnsiTheme="minorEastAsia" w:eastAsiaTheme="minorEastAsia" w:cstheme="minorEastAsia"/>
        </w:rPr>
        <w:tab/>
      </w:r>
    </w:p>
    <w:p>
      <w:pPr>
        <w:tabs>
          <w:tab w:val="left" w:pos="312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恢复设备生产能力</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增加设备生产功能和效率</w:t>
      </w:r>
    </w:p>
    <w:p>
      <w:pPr>
        <w:tabs>
          <w:tab w:val="left" w:pos="3120"/>
          <w:tab w:val="left" w:pos="6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补偿设备价值损耗</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补偿设备使用价值</w:t>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17.某施工企业拟从租赁公司租入一台施工机械设备，设备价格为 80 万元，租期 6 年，每年年末支付租金，折现率为 10%,附加率为 4%，则用附加率法计算该施工企业每年应支付的租金为（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rPr>
        <w:tab/>
      </w:r>
    </w:p>
    <w:p>
      <w:pPr>
        <w:tabs>
          <w:tab w:val="left" w:pos="540"/>
          <w:tab w:val="left" w:pos="32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24.53</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23.12</w:t>
      </w:r>
    </w:p>
    <w:p>
      <w:pPr>
        <w:tabs>
          <w:tab w:val="left" w:pos="540"/>
          <w:tab w:val="left" w:pos="32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18.86</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31.54</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18.在价值工程分析中，某评价对象的功能评价值为 0.6245,现实成本为 0.3567，根据价值系数，该评价对象的评价结果是（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功能现实成本比较客观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B. 成本偏高，功能过剩</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功能偏低，现实成本偏低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该评价对象功能比较重要，但分配的成本较少</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19.某施工项目现有两个对比工艺方案，方案 1 是过去曾经应用过的，方案 2 是新方案，两个方案均不需要增加投资。方案 1 的固定费用为 60 万元，单位产量的可变费用为 300 元；方案 2 的固定费用为 80 万元，单位产量的可变费用为 250 元，则两个方案的临界产量（产量平衡点）为（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）产量单位。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1320"/>
          <w:tab w:val="left" w:pos="36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3000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4000</w:t>
      </w:r>
    </w:p>
    <w:p>
      <w:pPr>
        <w:tabs>
          <w:tab w:val="left" w:pos="1320"/>
          <w:tab w:val="left" w:pos="36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5000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6000</w:t>
      </w:r>
    </w:p>
    <w:p>
      <w:pPr>
        <w:tabs>
          <w:tab w:val="left" w:pos="4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20.我国《企业会计准则》规定，企业应当以（</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）为基础进行会计确认、计量和报告。</w:t>
      </w:r>
    </w:p>
    <w:p>
      <w:pPr>
        <w:tabs>
          <w:tab w:val="left" w:pos="36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持续经营假设</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会计分期假设</w:t>
      </w:r>
    </w:p>
    <w:p>
      <w:pPr>
        <w:tabs>
          <w:tab w:val="left" w:pos="36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收付实现制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权责发生制</w:t>
      </w:r>
    </w:p>
    <w:p>
      <w:pPr>
        <w:tabs>
          <w:tab w:val="left" w:pos="4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21.关于会计主体假设，下列说法错误的是（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是指会计工作为之服务的特定单位</w:t>
      </w:r>
      <w:r>
        <w:rPr>
          <w:rFonts w:hint="eastAsia" w:asciiTheme="minorEastAsia" w:hAnsiTheme="minorEastAsia" w:eastAsiaTheme="minorEastAsia" w:cstheme="minorEastAsia"/>
          <w:lang w:val="en-US" w:eastAsia="zh-CN"/>
        </w:rPr>
        <w:t xml:space="preserve"> B.</w:t>
      </w:r>
      <w:r>
        <w:rPr>
          <w:rFonts w:hint="eastAsia" w:asciiTheme="minorEastAsia" w:hAnsiTheme="minorEastAsia" w:eastAsiaTheme="minorEastAsia" w:cstheme="minorEastAsia"/>
        </w:rPr>
        <w:t>会计主体与法律主体是同一概念</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规定了会计核算的范围</w:t>
      </w:r>
      <w:r>
        <w:rPr>
          <w:rFonts w:hint="eastAsia" w:asciiTheme="minorEastAsia" w:hAnsiTheme="minorEastAsia" w:eastAsiaTheme="minorEastAsia" w:cstheme="minorEastAsia"/>
          <w:lang w:val="en-US" w:eastAsia="zh-CN"/>
        </w:rPr>
        <w:t xml:space="preserve">           D.</w:t>
      </w:r>
      <w:r>
        <w:rPr>
          <w:rFonts w:hint="eastAsia" w:asciiTheme="minorEastAsia" w:hAnsiTheme="minorEastAsia" w:eastAsiaTheme="minorEastAsia" w:cstheme="minorEastAsia"/>
        </w:rPr>
        <w:t>法律主体往往是会计主体</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22.由于期间费用的发生仅与当期实现的收入相关，因而应当直接计入（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工程成本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B. 当期收入</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当期损益</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生产费用</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23.间接费用是施工企业下属施工单位或生产单位为组织和管理施工生产活动所发生的费用，对于水电安装工程来说，间接费用应当按照（</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）的百分比在各单项工程间分配。</w:t>
      </w:r>
    </w:p>
    <w:p>
      <w:pPr>
        <w:tabs>
          <w:tab w:val="left" w:pos="35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材料费用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人工费</w:t>
      </w:r>
    </w:p>
    <w:p>
      <w:pPr>
        <w:tabs>
          <w:tab w:val="left" w:pos="35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施工机械使用费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工程成本</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24.某施工企业在某月支付了某职工因工受伤就医路费 4000 元，按照《企业会计准则》，该项费用应当计入（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tabs>
          <w:tab w:val="left" w:pos="21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直接费用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间接费用</w:t>
      </w:r>
    </w:p>
    <w:p>
      <w:pPr>
        <w:tabs>
          <w:tab w:val="left" w:pos="21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其他直接费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管理费用</w:t>
      </w:r>
    </w:p>
    <w:p>
      <w:pPr>
        <w:tabs>
          <w:tab w:val="left" w:pos="51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25.关于施工企业工程成本核算的任务，下列（</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）是项目成本核算的根本目的。</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正确及时地核算施工过程中发生的各项费用，计算施工项目的实际成本</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反映和监督施工项目成本计划的完成情况，为项目成本预测，为参与项目施工成本生产、技术和经营决策提供可靠的成本报告和有关资料，促进项目改善经营管理，降低成本，提高经济效益</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执行国家有关成本开支范围、费用开支标准、工程预算定额和预算、成本计划的有关规定，控制费用，促进项目合理、节约地使用人力、物力和财力</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正确确定成本核算对象，准确诡计和分配施工生产费用</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26.按照会计准则规定，固定资产的原价扣除其预计净残值，再扣除已计提固定资产减值准备累计金额后的余额是固定资产的（</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年折旧额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B. 净值</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应计折旧额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D. 折余价值</w:t>
      </w:r>
    </w:p>
    <w:p>
      <w:pPr>
        <w:numPr>
          <w:ilvl w:val="0"/>
          <w:numId w:val="2"/>
        </w:num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关于杜邦财务分析体系的说法，正确的是（ ）。</w:t>
      </w:r>
    </w:p>
    <w:p>
      <w:pPr>
        <w:numPr>
          <w:ilvl w:val="0"/>
          <w:numId w:val="0"/>
        </w:num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杜邦分析以净资产收益率为核心指标B．杜邦分析能研究各项资产的比重变化情况，揭示企业的偿债能力C．杜邦财务分析体系重点分析同一指标在不同期间的变化趋势D．通过杜邦分析能发现企业资本金的变动趋势</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28.建筑业企业的主营业务收入是指（</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建造（施工）合同收入</w:t>
      </w: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让渡资产使用权收入</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因合同变更产生的收入D. 销售产品的收入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29.某建筑业企业承担了一项合同价为 5000 万元的建造合同，建设期为 3 年。第一年实际发生合同成本 1000 万元，年末预计为完成合同尚需发生合同成本 3000 万元；第 2 年实际发生合同成本 1500 万元，年末预计为完成合同尚需发生成本 1500 万元，则第 2 年末该合同完工进度为（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1800"/>
          <w:tab w:val="left" w:pos="2560"/>
          <w:tab w:val="left" w:pos="3060"/>
          <w:tab w:val="left" w:pos="4140"/>
          <w:tab w:val="left" w:pos="5620"/>
          <w:tab w:val="left" w:pos="6380"/>
          <w:tab w:val="left" w:pos="666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62.5％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B.50%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1220"/>
          <w:tab w:val="left" w:pos="1800"/>
          <w:tab w:val="left" w:pos="2560"/>
          <w:tab w:val="left" w:pos="3060"/>
          <w:tab w:val="left" w:pos="4140"/>
          <w:tab w:val="left" w:pos="5620"/>
          <w:tab w:val="left" w:pos="6380"/>
          <w:tab w:val="left" w:pos="666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25%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20%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30.某建筑业企业与某业主签订了一项总造价为 5000 万元的固定总造价合同，合同约定工期为 3 年。第一年年末完工进度为 30%，第二年年末完工进度为 80%,第一年 1 和第二年业主分别与该建筑业企业结算工程进度款 1000 万元和 2000 万元，则该建筑业企业第二年应确认的合同收入为（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1800"/>
          <w:tab w:val="left" w:pos="2560"/>
          <w:tab w:val="left" w:pos="3060"/>
          <w:tab w:val="left" w:pos="4140"/>
          <w:tab w:val="left" w:pos="5620"/>
          <w:tab w:val="left" w:pos="6380"/>
          <w:tab w:val="left" w:pos="666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2000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4000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1800"/>
          <w:tab w:val="left" w:pos="2560"/>
          <w:tab w:val="left" w:pos="3060"/>
          <w:tab w:val="left" w:pos="4140"/>
          <w:tab w:val="left" w:pos="5620"/>
          <w:tab w:val="left" w:pos="6380"/>
          <w:tab w:val="left" w:pos="666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2500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3000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31.按照《公司法》，公司税后利润进行分配的第一步是（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2560"/>
          <w:tab w:val="left" w:pos="3060"/>
          <w:tab w:val="left" w:pos="414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提取法定公积金</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增加公司注册资本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3060"/>
          <w:tab w:val="left" w:pos="414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弥补以前年度亏损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扩大公司生产经营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2560"/>
          <w:tab w:val="left" w:pos="5620"/>
          <w:tab w:val="left" w:pos="6380"/>
          <w:tab w:val="left" w:pos="666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32.现金流量表是以（</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）为基础编制的。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3060"/>
          <w:tab w:val="left" w:pos="414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经营活动的现金流量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投资活动的现金流量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3060"/>
          <w:tab w:val="left" w:pos="4140"/>
          <w:tab w:val="left" w:pos="5620"/>
          <w:tab w:val="left" w:pos="6380"/>
          <w:tab w:val="left" w:pos="666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筹资活动的现金流量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现金</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33.某企业 2014 年 5 月份甲种材料的实际费用与计划费用的有关资料如下表，材料费用的三个影响变量按照产品产量、单位产品材料消耗量、材料单价顺序排序。用因素分析法计算单位产品此材料消耗量对材料费用差异产生的影响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）元。</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1220"/>
          <w:tab w:val="left" w:pos="2560"/>
          <w:tab w:val="left" w:pos="3060"/>
          <w:tab w:val="left" w:pos="4140"/>
          <w:tab w:val="left" w:pos="5400"/>
          <w:tab w:val="left" w:pos="5620"/>
          <w:tab w:val="left" w:pos="6380"/>
          <w:tab w:val="left" w:pos="66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drawing>
          <wp:inline distT="0" distB="0" distL="114300" distR="114300">
            <wp:extent cx="5180965" cy="1743075"/>
            <wp:effectExtent l="0" t="0" r="63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180965" cy="1743075"/>
                    </a:xfrm>
                    <a:prstGeom prst="rect">
                      <a:avLst/>
                    </a:prstGeom>
                    <a:noFill/>
                    <a:ln w="9525">
                      <a:noFill/>
                    </a:ln>
                  </pic:spPr>
                </pic:pic>
              </a:graphicData>
            </a:graphic>
          </wp:inline>
        </w:drawing>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1220"/>
          <w:tab w:val="left" w:pos="2560"/>
          <w:tab w:val="left" w:pos="3060"/>
          <w:tab w:val="left" w:pos="4140"/>
          <w:tab w:val="left" w:pos="5400"/>
          <w:tab w:val="left" w:pos="5620"/>
          <w:tab w:val="left" w:pos="6380"/>
          <w:tab w:val="left" w:pos="666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1800"/>
          <w:tab w:val="left" w:pos="2560"/>
          <w:tab w:val="left" w:pos="3060"/>
          <w:tab w:val="left" w:pos="4140"/>
          <w:tab w:val="left" w:pos="5620"/>
          <w:tab w:val="left" w:pos="6380"/>
          <w:tab w:val="left" w:pos="666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 2000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12000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1800"/>
          <w:tab w:val="left" w:pos="2560"/>
          <w:tab w:val="left" w:pos="3060"/>
          <w:tab w:val="left" w:pos="4140"/>
          <w:tab w:val="left" w:pos="5620"/>
          <w:tab w:val="left" w:pos="6380"/>
          <w:tab w:val="left" w:pos="666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C. 18000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10000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80"/>
          <w:tab w:val="left" w:pos="1800"/>
          <w:tab w:val="left" w:pos="2560"/>
          <w:tab w:val="left" w:pos="3060"/>
          <w:tab w:val="left" w:pos="4140"/>
          <w:tab w:val="left" w:pos="5620"/>
          <w:tab w:val="left" w:pos="6380"/>
          <w:tab w:val="left" w:pos="6660"/>
          <w:tab w:val="left" w:pos="7160"/>
          <w:tab w:val="left" w:pos="93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numPr>
          <w:ilvl w:val="0"/>
          <w:numId w:val="3"/>
        </w:num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某施工企业于 2012 年 6 月完成一项为期 5 个月的建造合同，工程完工时共发生人工费 50万元，材料费 460 万元，机械使用费 70 万元，应负担的间接费用 40 万元，5 个月中施工企业管理人员的工资费用为 80 万元，则应计入该工程成本的费用为（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）万元。</w:t>
      </w:r>
    </w:p>
    <w:p>
      <w:pPr>
        <w:tabs>
          <w:tab w:val="left" w:pos="1740"/>
          <w:tab w:val="left" w:pos="2680"/>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580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510</w:t>
      </w:r>
      <w:r>
        <w:rPr>
          <w:rFonts w:hint="eastAsia" w:asciiTheme="minorEastAsia" w:hAnsiTheme="minorEastAsia" w:eastAsiaTheme="minorEastAsia" w:cstheme="minorEastAsia"/>
        </w:rPr>
        <w:tab/>
      </w:r>
    </w:p>
    <w:p>
      <w:pPr>
        <w:tabs>
          <w:tab w:val="left" w:pos="1740"/>
          <w:tab w:val="left" w:pos="2680"/>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620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550</w:t>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35.某施工企业从银行取得一笔长期借款 5000 万元，手续费率 0.2%，年利率 5%，期限 3 年，每年结息一次，到期一次还本，企业所得税率为 25%,则这笔借款的资金成本率为</w:t>
      </w:r>
    </w:p>
    <w:p>
      <w:pPr>
        <w:tabs>
          <w:tab w:val="left" w:pos="1740"/>
          <w:tab w:val="left" w:pos="2680"/>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4.12%</w:t>
      </w:r>
      <w:r>
        <w:rPr>
          <w:rFonts w:hint="eastAsia" w:asciiTheme="minorEastAsia" w:hAnsiTheme="minorEastAsia" w:eastAsiaTheme="minorEastAsia" w:cstheme="minorEastAsia"/>
        </w:rPr>
        <w:tab/>
      </w:r>
    </w:p>
    <w:p>
      <w:pPr>
        <w:tabs>
          <w:tab w:val="left" w:pos="2680"/>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3.76%</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5.12%</w:t>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36.利润表是反映企业在一定会计期间的经营成果的会计报表，其编制依据是</w:t>
      </w:r>
      <w:r>
        <w:rPr>
          <w:rFonts w:hint="eastAsia" w:asciiTheme="minorEastAsia" w:hAnsiTheme="minorEastAsia" w:eastAsiaTheme="minorEastAsia" w:cstheme="minorEastAsia"/>
          <w:lang w:val="en-US" w:eastAsia="zh-CN"/>
        </w:rPr>
        <w:t>(  )</w:t>
      </w:r>
      <w:r>
        <w:rPr>
          <w:rFonts w:hint="eastAsia" w:asciiTheme="minorEastAsia" w:hAnsiTheme="minorEastAsia" w:eastAsiaTheme="minorEastAsia" w:cstheme="minorEastAsia"/>
        </w:rPr>
        <w:t>。</w:t>
      </w:r>
    </w:p>
    <w:p>
      <w:pPr>
        <w:tabs>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资产＝负债＋所有者权益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收入和费用</w:t>
      </w:r>
      <w:r>
        <w:rPr>
          <w:rFonts w:hint="eastAsia" w:asciiTheme="minorEastAsia" w:hAnsiTheme="minorEastAsia" w:eastAsiaTheme="minorEastAsia" w:cstheme="minorEastAsia"/>
        </w:rPr>
        <w:tab/>
      </w:r>
    </w:p>
    <w:p>
      <w:pPr>
        <w:tabs>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利润＝收入－费用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会计要素</w:t>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37.按照《建设工程工程量清单计价规范》规定，投标报价中的企业管理费费率应当（</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tabs>
          <w:tab w:val="left" w:pos="47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按照国家定额标准确定B.  按照行业建设主管部门对定标准确定</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由投标人根据本企业近年的企业管理费核算数据自行测定</w:t>
      </w:r>
    </w:p>
    <w:p>
      <w:pPr>
        <w:tabs>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  按照招标文件规定标准确定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38.银行在向企业发放贷款时，先从本金中扣除利息部分，到期时借款企业再偿还全部本金的一种计息方法是（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2680"/>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贴现法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收款法</w:t>
      </w:r>
      <w:r>
        <w:rPr>
          <w:rFonts w:hint="eastAsia" w:asciiTheme="minorEastAsia" w:hAnsiTheme="minorEastAsia" w:eastAsiaTheme="minorEastAsia" w:cstheme="minorEastAsia"/>
        </w:rPr>
        <w:tab/>
      </w:r>
    </w:p>
    <w:p>
      <w:pPr>
        <w:tabs>
          <w:tab w:val="left" w:pos="2680"/>
          <w:tab w:val="left" w:pos="47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利随本清法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补偿性余额法</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39.按照《建设工程工程量清单计价规范》规定，一般情况下，编制招标控制价采用的材料价格应是（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按照招标人的要求确定的价格</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  工程造价管理机构通过工程造价信息发布的材料单价</w:t>
      </w:r>
      <w:r>
        <w:rPr>
          <w:rFonts w:hint="eastAsia" w:asciiTheme="minorEastAsia" w:hAnsiTheme="minorEastAsia" w:eastAsiaTheme="minorEastAsia" w:cstheme="minorEastAsia"/>
        </w:rPr>
        <w:tab/>
      </w:r>
    </w:p>
    <w:p>
      <w:pPr>
        <w:tabs>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完全按照市场价格水平确定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  以市场价格为基础，在参考未来市场价格波动因素来确定</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40.建设投资可以分为静态投资和动态投资部分，下列项目属于动态投资的是（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tabs>
          <w:tab w:val="left" w:pos="47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建筑安装工程费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设备工器具购置费</w:t>
      </w:r>
      <w:r>
        <w:rPr>
          <w:rFonts w:hint="eastAsia" w:asciiTheme="minorEastAsia" w:hAnsiTheme="minorEastAsia" w:eastAsiaTheme="minorEastAsia" w:cstheme="minorEastAsia"/>
        </w:rPr>
        <w:tab/>
      </w:r>
    </w:p>
    <w:p>
      <w:pPr>
        <w:tabs>
          <w:tab w:val="left" w:pos="2680"/>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基本预备费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涨价预备费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41.某进口设备到岸价为 5600 万元人民币，进口关税税率为 21%，货物进口增值税税率为 17%，该设备无进口消费税，则该设备进口应缴纳的增值税为（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rPr>
        <w:tab/>
      </w:r>
    </w:p>
    <w:p>
      <w:pPr>
        <w:tabs>
          <w:tab w:val="left" w:pos="2680"/>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952.00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1151.92</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2680"/>
          <w:tab w:val="left" w:pos="4700"/>
          <w:tab w:val="left" w:pos="676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2128.00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2752.08</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42.某建设项目期初估算的建筑安装工程费和设备工器具购置费为 1500 万元，建设期为 2 年，第 2 年计划完成估算投资的 40%，建设期内年平均价格上涨率为 3%，则第 2 年的涨价预备费为（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8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18.00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36.54</w:t>
      </w:r>
      <w:r>
        <w:rPr>
          <w:rFonts w:hint="eastAsia" w:asciiTheme="minorEastAsia" w:hAnsiTheme="minorEastAsia" w:eastAsiaTheme="minorEastAsia" w:cstheme="minorEastAsia"/>
        </w:rPr>
        <w:tab/>
      </w:r>
    </w:p>
    <w:p>
      <w:pPr>
        <w:tabs>
          <w:tab w:val="left" w:pos="48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63.54</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636.54</w:t>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43.某项目进口设备，其离岸价为 1000 万元人民币，国外运费率为 10%，国外运输保险费率为 14.5%，银行财务费为 4.25 万元，外贸手续费为 18.9 万元，关税税率为 20%，增值税税率为 17%，无消费税，则该设备的到岸价为（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rPr>
        <w:tab/>
      </w:r>
    </w:p>
    <w:p>
      <w:pPr>
        <w:tabs>
          <w:tab w:val="left" w:pos="48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747.19</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1259.5</w:t>
      </w:r>
      <w:r>
        <w:rPr>
          <w:rFonts w:hint="eastAsia" w:asciiTheme="minorEastAsia" w:hAnsiTheme="minorEastAsia" w:eastAsiaTheme="minorEastAsia" w:cstheme="minorEastAsia"/>
        </w:rPr>
        <w:tab/>
      </w:r>
    </w:p>
    <w:p>
      <w:pPr>
        <w:tabs>
          <w:tab w:val="left" w:pos="48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1286.55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1045</w:t>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44.生产单位提前进厂参加施工、设备安装、调试等人员的工资、工资性补贴、劳动保护费等应计入（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8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联合试运转费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生产准备费</w:t>
      </w:r>
      <w:r>
        <w:rPr>
          <w:rFonts w:hint="eastAsia" w:asciiTheme="minorEastAsia" w:hAnsiTheme="minorEastAsia" w:eastAsiaTheme="minorEastAsia" w:cstheme="minorEastAsia"/>
        </w:rPr>
        <w:tab/>
      </w:r>
    </w:p>
    <w:p>
      <w:pPr>
        <w:tabs>
          <w:tab w:val="left" w:pos="48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基本预备费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建设单位管理费</w:t>
      </w:r>
      <w:r>
        <w:rPr>
          <w:rFonts w:hint="eastAsia" w:asciiTheme="minorEastAsia" w:hAnsiTheme="minorEastAsia" w:eastAsiaTheme="minorEastAsia" w:cstheme="minorEastAsia"/>
        </w:rPr>
        <w:tab/>
      </w:r>
    </w:p>
    <w:p>
      <w:pPr>
        <w:tabs>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45.按照费用构成要素划分，下列各项中属于建筑安装工程费中规费的是（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tabs>
          <w:tab w:val="left" w:pos="48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医疗保险费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财产保险费</w:t>
      </w:r>
      <w:r>
        <w:rPr>
          <w:rFonts w:hint="eastAsia" w:asciiTheme="minorEastAsia" w:hAnsiTheme="minorEastAsia" w:eastAsiaTheme="minorEastAsia" w:cstheme="minorEastAsia"/>
        </w:rPr>
        <w:tab/>
      </w:r>
    </w:p>
    <w:p>
      <w:pPr>
        <w:tabs>
          <w:tab w:val="left" w:pos="48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劳动保护费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劳动保险费</w:t>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46.在施工过程中，承包人完成发包人提出的施工图纸以外的零星项目或工作所需的费用是指（</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8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暂列金额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B.措施费</w:t>
      </w:r>
      <w:r>
        <w:rPr>
          <w:rFonts w:hint="eastAsia" w:asciiTheme="minorEastAsia" w:hAnsiTheme="minorEastAsia" w:eastAsiaTheme="minorEastAsia" w:cstheme="minorEastAsia"/>
        </w:rPr>
        <w:tab/>
      </w:r>
    </w:p>
    <w:p>
      <w:pPr>
        <w:tabs>
          <w:tab w:val="left" w:pos="48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暂估价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D.计日工</w:t>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47.某工程合同总额为 2000 万元，工程预付款为 400 万元，主要材料、构件所占比重为 50%，则当工程完成（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）万元时，本项工程预付款开始起扣。</w:t>
      </w:r>
      <w:r>
        <w:rPr>
          <w:rFonts w:hint="eastAsia" w:asciiTheme="minorEastAsia" w:hAnsiTheme="minorEastAsia" w:eastAsiaTheme="minorEastAsia" w:cstheme="minorEastAsia"/>
        </w:rPr>
        <w:tab/>
      </w:r>
    </w:p>
    <w:p>
      <w:pPr>
        <w:tabs>
          <w:tab w:val="left" w:pos="480"/>
          <w:tab w:val="left" w:pos="132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1200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B.800</w:t>
      </w:r>
      <w:r>
        <w:rPr>
          <w:rFonts w:hint="eastAsia" w:asciiTheme="minorEastAsia" w:hAnsiTheme="minorEastAsia" w:eastAsiaTheme="minorEastAsia" w:cstheme="minorEastAsia"/>
        </w:rPr>
        <w:tab/>
      </w:r>
    </w:p>
    <w:p>
      <w:pPr>
        <w:tabs>
          <w:tab w:val="left" w:pos="480"/>
          <w:tab w:val="left" w:pos="132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400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D.1000</w:t>
      </w:r>
      <w:r>
        <w:rPr>
          <w:rFonts w:hint="eastAsia" w:asciiTheme="minorEastAsia" w:hAnsiTheme="minorEastAsia" w:eastAsiaTheme="minorEastAsia" w:cstheme="minorEastAsia"/>
        </w:rPr>
        <w:tab/>
      </w:r>
    </w:p>
    <w:p>
      <w:pPr>
        <w:tabs>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48.在编制企业定额时，一般情况下，人工价格按（ ）计算确定。</w:t>
      </w:r>
      <w:r>
        <w:rPr>
          <w:rFonts w:hint="eastAsia" w:asciiTheme="minorEastAsia" w:hAnsiTheme="minorEastAsia" w:eastAsiaTheme="minorEastAsia" w:cstheme="minorEastAsia"/>
        </w:rPr>
        <w:tab/>
      </w:r>
    </w:p>
    <w:p>
      <w:pPr>
        <w:tabs>
          <w:tab w:val="left" w:pos="48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施工定额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B.地区劳务市场价格</w:t>
      </w:r>
      <w:r>
        <w:rPr>
          <w:rFonts w:hint="eastAsia" w:asciiTheme="minorEastAsia" w:hAnsiTheme="minorEastAsia" w:eastAsiaTheme="minorEastAsia" w:cstheme="minorEastAsia"/>
        </w:rPr>
        <w:tab/>
      </w:r>
    </w:p>
    <w:p>
      <w:pPr>
        <w:tabs>
          <w:tab w:val="left" w:pos="48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企业平均工资水平</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D.当地平均工资水平</w:t>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49.某施工机械的时间定额为 0.391 台班/100 立方米，与之配合的工人小组由 4 人，则该机械的产量定额为（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）立方米/台班。</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80"/>
          <w:tab w:val="left" w:pos="132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2.56</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256</w:t>
      </w:r>
      <w:r>
        <w:rPr>
          <w:rFonts w:hint="eastAsia" w:asciiTheme="minorEastAsia" w:hAnsiTheme="minorEastAsia" w:eastAsiaTheme="minorEastAsia" w:cstheme="minorEastAsia"/>
        </w:rPr>
        <w:tab/>
      </w:r>
    </w:p>
    <w:p>
      <w:pPr>
        <w:tabs>
          <w:tab w:val="left" w:pos="480"/>
          <w:tab w:val="left" w:pos="1320"/>
          <w:tab w:val="left" w:pos="2040"/>
          <w:tab w:val="left" w:pos="4560"/>
          <w:tab w:val="left" w:pos="80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0.64</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64</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50.在初步设计计算编制设计概算或技术设计阶段编制修正概算，确定建设工程项目投资额的依据是（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2160"/>
          <w:tab w:val="left" w:pos="2700"/>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施工定额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概算定额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2160"/>
          <w:tab w:val="left" w:pos="2700"/>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概算指标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投资估算指标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51.在进行单位建筑工程设计概算构成审查时，对材料预算价格的审查，其审查重点是（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tabs>
          <w:tab w:val="left" w:pos="2160"/>
          <w:tab w:val="left" w:pos="2700"/>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材料原价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B.运输费用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是否有重复计算或遗漏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D.耗用量最大的主要材料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52.在编制措施项目清单时，适用于使用参数法计算的措施项目是（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tabs>
          <w:tab w:val="left" w:pos="2700"/>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夜间施工费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脚手架搭拆费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大型机械进出场及安拆费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生活家具购置费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53.工程量必须以承包人完成合同工程应予计量的工程量确定。施工中进行工程计量时，当发现招标工程量清单中出现缺项、工程量偏差，或因工程变更引起工程量增减时，应（</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tabs>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按均摊法进行计量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按图纸法进行计量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按承包人在履行合同义务中完成的工程量计量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 按招标文件中标明的工程量计量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54.按照《建设工程工程量清单计价规范》规定，除另有说明外，所有清单项目的工程量（</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tabs>
          <w:tab w:val="left" w:pos="476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均以清单列明工程量为准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按照清单计算公式计算确定</w:t>
      </w:r>
      <w:r>
        <w:rPr>
          <w:rFonts w:hint="eastAsia" w:asciiTheme="minorEastAsia" w:hAnsiTheme="minorEastAsia" w:eastAsiaTheme="minorEastAsia" w:cstheme="minorEastAsia"/>
        </w:rPr>
        <w:tab/>
      </w:r>
    </w:p>
    <w:p>
      <w:pPr>
        <w:tabs>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以实体工程量为准，并以完成后的净值来计算</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 由发承包双方友好协商确定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55.在进行设备安装工程概算编制时，当初步设计的设备清单不完备，或仅有成套设备的重量时，可采用（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）编制概算。</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2700"/>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预算单价法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扩大单价法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2700"/>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概算指标法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类似工程量预算法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56.在施工企业组织施工生产的过程中，作为控制施工成本依据的是（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tabs>
          <w:tab w:val="left" w:pos="2160"/>
          <w:tab w:val="left" w:pos="2700"/>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设计概算</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投资估算</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2700"/>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施工图预算</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预算手册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57.国际工程报价中，按照不同工程项目的不同特点、类别、施工条件等来选择报价策略时，</w:t>
      </w:r>
    </w:p>
    <w:p>
      <w:pPr>
        <w:tabs>
          <w:tab w:val="left" w:pos="2700"/>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报价可高一些的是（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工作简单、工程量大的项目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竞争对手多的工程项目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760"/>
          <w:tab w:val="left" w:pos="7800"/>
          <w:tab w:val="left" w:pos="950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支付条件不理想的工程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支付条件好的工程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58.按照《建设工程工程量清单计价规范》规定，单价合同和总价合同均可以采用工程量清单计价，区别仅在于（</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计价公式不同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计价费用构成不一样</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价款最终结算方式不一样 D. 清单中所填写的工程量的合同约束力不同</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59.工程竣工结算由（ ）编制。</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发包人</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承包人或受其委托的具有相应资质的工程造价咨询人</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受发包人委托的具有相应资质的工程造价咨询人</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发承包双方共同配合</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60.按照《建设工程工程量清单计价规范》规定，在清单计价中测算人、材、机消耗量时，编制投标报价时一般采用（ ）。</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政府颁发的消耗量定额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根据市场询价的情况</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反映企业水平的企业定额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地区定额</w:t>
      </w:r>
    </w:p>
    <w:p>
      <w:pPr>
        <w:spacing w:line="24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二、多项选择题（共 20 题，每题 2 分。每题的备选项中，有 2 个或 2 个以上符合题意，至少有 1 个错项。错选，本题不得分，少选，所选的每个选项得 0.5 分）。</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61.下述名义利率与实际利率的说法中正确的是（ ）。</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在计息期为一年时，名义利率等于实际利率</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实际利率真实地反映了资金的时间价值</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名义利率真实地反映了资金的时间价值</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名义利率相同时，周期越短，与实际利率差值越大</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E.</w:t>
      </w:r>
      <w:r>
        <w:rPr>
          <w:rFonts w:hint="eastAsia" w:asciiTheme="minorEastAsia" w:hAnsiTheme="minorEastAsia" w:eastAsiaTheme="minorEastAsia" w:cstheme="minorEastAsia"/>
        </w:rPr>
        <w:t>名义利率越小，周期越短，与实际利率差值越大</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62.某施工企业从银行借款 200 万元，借款期 5 年，年利率为 10%，半年复利计息一次，则第五年年末一次归还的本利和计算公式为（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200(F/P,10%,5)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200(A/P,5%,10)(F/P,5%,10)</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200(F/P,5%,5)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200(F/P,5%,10)</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 200(F/P,10.25%,5)</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63.静态财务评价指标的最大特点是计算简便，主要用于（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未来收益基本确定的方案评价</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B.对方案进行粗略评价</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C.政府已确定的技术方案</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D.对短期投资方案进行评价</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E.对于逐年收益大致相等的方案评价</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64.在施工企业进行设备更新决策时，通常应优先考虑更新的设备是（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存在沉没成本的设备</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损耗严重，大修后性能、精度仍不能满足规定工艺要求的设备</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设备役龄长，大修虽然能恢复精度，但经济效果不如更新的设备</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损耗虽在允许范围之内，但技术已经陈旧落后，能耗高、使用操作条件不好、对环境污染严重，技术经济效果不好的设备</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E.</w:t>
      </w:r>
      <w:r>
        <w:rPr>
          <w:rFonts w:hint="eastAsia" w:asciiTheme="minorEastAsia" w:hAnsiTheme="minorEastAsia" w:eastAsiaTheme="minorEastAsia" w:cstheme="minorEastAsia"/>
        </w:rPr>
        <w:t>发生第二种无形磨损的设备</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65.关于技术方案现金流量表，下列表述正确的有（</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投资现金流量表将项目总投资作为计算基础，分析项目的财务生存能力</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资本金现金流量表把借款本金偿还和利息支付作为现金流出</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财务计划现金流量表用以考察项目的盈利能力</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D、财务计划现金流量表用以计算累计盈余资金</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 投资各方现金流量表以投资者的出资额作为计算基础</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66.在进行价值工程对象选择时，从设计方面看，应选择的价值工程对象有（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结构复杂的工程成品</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B.竞争力差的工程产品</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性能和技术差的工程产品</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体积和重量大的工程产品</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E.原材料消耗高的工程产品</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67.关于权责发生制原则，下列说法正确的是（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以款项实际支付的时间确认费用</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以款项实际收到时间确认收入</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凡是当期已经实现的收入，不论款项是否收到，都应当作为当期的收入</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凡是当期已经发生的或应当负担的费用，不论款项是否支付，都应当作为当期费用</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E.</w:t>
      </w:r>
      <w:r>
        <w:rPr>
          <w:rFonts w:hint="eastAsia" w:asciiTheme="minorEastAsia" w:hAnsiTheme="minorEastAsia" w:eastAsiaTheme="minorEastAsia" w:cstheme="minorEastAsia"/>
        </w:rPr>
        <w:t>企业的会计核算应当以权责发生制为基础</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68.影响固定资产折旧的因素有（</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折旧计算方法</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固定资产原价</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累计减值准备</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预计净残值</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E.</w:t>
      </w:r>
      <w:r>
        <w:rPr>
          <w:rFonts w:hint="eastAsia" w:asciiTheme="minorEastAsia" w:hAnsiTheme="minorEastAsia" w:eastAsiaTheme="minorEastAsia" w:cstheme="minorEastAsia"/>
        </w:rPr>
        <w:t>固定资产使用寿命</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69.按照《企业会计准则第 15 号－建造合同》，应当计入间接费用的有（</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项目经理部管理人员工资及福利费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工程定位复测费</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工程保修费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排污费</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 场地清理费</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70.某施工企业签订一项合同包括建造多项资产，在同时具备（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）条件时，会计处理上应将每项资产分立为单项合同处理。</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A.该组合同按一揽子交易签订B.每项资产均有独立的建造计划</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C.建造承包商与客户就每项资产单独进行谈判，双方能够接受或拒绝与每项资产有关的合同条款</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 每项资产的收入和成本可以单独辨认</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E.每项资产均是一项综合利润率工程的组成部分</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71.按照《企业会计准则》,下列项目中应当计入营业外支出的有（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固定资产盘亏损失</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非常损失</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投资损失</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资产减值损失</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E.</w:t>
      </w:r>
      <w:r>
        <w:rPr>
          <w:rFonts w:hint="eastAsia" w:asciiTheme="minorEastAsia" w:hAnsiTheme="minorEastAsia" w:eastAsiaTheme="minorEastAsia" w:cstheme="minorEastAsia"/>
        </w:rPr>
        <w:t>罚款支出</w:t>
      </w:r>
    </w:p>
    <w:p>
      <w:pPr>
        <w:tabs>
          <w:tab w:val="left" w:pos="7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72.建设投资可以分为静态投资和动态投资部分，下列属于静态投资的是（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tabs>
          <w:tab w:val="left" w:pos="3560"/>
          <w:tab w:val="left" w:pos="6440"/>
          <w:tab w:val="left" w:pos="7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建设期利息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涨价预备费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560"/>
          <w:tab w:val="left" w:pos="6440"/>
          <w:tab w:val="left" w:pos="7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建筑安装工程费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基本预备费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560"/>
          <w:tab w:val="left" w:pos="6440"/>
          <w:tab w:val="left" w:pos="7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 工程建设其他费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6440"/>
          <w:tab w:val="left" w:pos="7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73.按照造价形成划分，下列各项中属于措施项目费的有（</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tabs>
          <w:tab w:val="left" w:pos="3560"/>
          <w:tab w:val="left" w:pos="6440"/>
          <w:tab w:val="left" w:pos="7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夜间施工增加费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B.文明施工费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560"/>
          <w:tab w:val="left" w:pos="6440"/>
          <w:tab w:val="left" w:pos="7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冬雨季施工费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D.总承包服务费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560"/>
          <w:tab w:val="left" w:pos="6440"/>
          <w:tab w:val="left" w:pos="79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 劳动保险费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74.按照费用构成要素划分，建筑安装工程费中包括的税金中属于包括企业管理费的有</w:t>
      </w:r>
    </w:p>
    <w:p>
      <w:pPr>
        <w:tabs>
          <w:tab w:val="left" w:pos="360"/>
          <w:tab w:val="left" w:pos="2940"/>
          <w:tab w:val="left" w:pos="68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360"/>
          <w:tab w:val="left" w:pos="2940"/>
          <w:tab w:val="left" w:pos="68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城市维护建设税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B.土地使用税</w:t>
      </w:r>
      <w:r>
        <w:rPr>
          <w:rFonts w:hint="eastAsia" w:asciiTheme="minorEastAsia" w:hAnsiTheme="minorEastAsia" w:eastAsiaTheme="minorEastAsia" w:cstheme="minorEastAsia"/>
        </w:rPr>
        <w:tab/>
      </w:r>
    </w:p>
    <w:p>
      <w:pPr>
        <w:tabs>
          <w:tab w:val="left" w:pos="360"/>
          <w:tab w:val="left" w:pos="2940"/>
          <w:tab w:val="left" w:pos="68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消费税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D.印花税</w:t>
      </w:r>
      <w:r>
        <w:rPr>
          <w:rFonts w:hint="eastAsia" w:asciiTheme="minorEastAsia" w:hAnsiTheme="minorEastAsia" w:eastAsiaTheme="minorEastAsia" w:cstheme="minorEastAsia"/>
        </w:rPr>
        <w:tab/>
      </w:r>
    </w:p>
    <w:p>
      <w:pPr>
        <w:tabs>
          <w:tab w:val="left" w:pos="360"/>
          <w:tab w:val="left" w:pos="2940"/>
          <w:tab w:val="left" w:pos="68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E.教育费附加</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2940"/>
          <w:tab w:val="left" w:pos="68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75.施工机械使用费包括（</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tabs>
          <w:tab w:val="left" w:pos="360"/>
          <w:tab w:val="left" w:pos="2940"/>
          <w:tab w:val="left" w:pos="68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安拆费及场外运费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B.安全施工费</w:t>
      </w:r>
      <w:r>
        <w:rPr>
          <w:rFonts w:hint="eastAsia" w:asciiTheme="minorEastAsia" w:hAnsiTheme="minorEastAsia" w:eastAsiaTheme="minorEastAsia" w:cstheme="minorEastAsia"/>
        </w:rPr>
        <w:tab/>
      </w:r>
    </w:p>
    <w:p>
      <w:pPr>
        <w:tabs>
          <w:tab w:val="left" w:pos="360"/>
          <w:tab w:val="left" w:pos="2940"/>
          <w:tab w:val="left" w:pos="68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机上司机的人工费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D.车船使用税</w:t>
      </w:r>
      <w:r>
        <w:rPr>
          <w:rFonts w:hint="eastAsia" w:asciiTheme="minorEastAsia" w:hAnsiTheme="minorEastAsia" w:eastAsiaTheme="minorEastAsia" w:cstheme="minorEastAsia"/>
        </w:rPr>
        <w:tab/>
      </w:r>
    </w:p>
    <w:p>
      <w:pPr>
        <w:tabs>
          <w:tab w:val="left" w:pos="360"/>
          <w:tab w:val="left" w:pos="2940"/>
          <w:tab w:val="left" w:pos="68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 仪器仪表使用费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684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76.按照造价形成划分，建筑安装工程费中的其他项目费包括（</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tabs>
          <w:tab w:val="left" w:pos="4160"/>
          <w:tab w:val="left" w:pos="7520"/>
          <w:tab w:val="left" w:pos="82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暂估价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B.待摊费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160"/>
          <w:tab w:val="left" w:pos="7520"/>
          <w:tab w:val="left" w:pos="82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暂列金额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总承包服务费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160"/>
          <w:tab w:val="left" w:pos="7520"/>
          <w:tab w:val="left" w:pos="82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E.计日工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7520"/>
          <w:tab w:val="left" w:pos="82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77.概算定额是以扩大的分部分项工程为对象编制的，其作用主要有（</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tabs>
          <w:tab w:val="left" w:pos="4160"/>
          <w:tab w:val="left" w:pos="7520"/>
          <w:tab w:val="left" w:pos="82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是编制扩大初步设计的依据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用于施工管理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160"/>
          <w:tab w:val="left" w:pos="7520"/>
          <w:tab w:val="left" w:pos="82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确定建设项目投资额的依据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是编制概算指标的基础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4160"/>
          <w:tab w:val="left" w:pos="7520"/>
          <w:tab w:val="left" w:pos="82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 是编制施工定额的基础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tabs>
          <w:tab w:val="left" w:pos="8280"/>
        </w:tabs>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78.如果因不可抗力导致合同解除，关于发包人应承担费用的说法正确的是（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应向承包人支付合同解除之日前已完成的工程但尚未支付的合同价款</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已实施或部分实施的措施项目应付价款</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向承包人支付合同约定的违约金</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向承包人支付承包人为工程合理订购且已交付的材料和工程设备货款</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E.</w:t>
      </w:r>
      <w:r>
        <w:rPr>
          <w:rFonts w:hint="eastAsia" w:asciiTheme="minorEastAsia" w:hAnsiTheme="minorEastAsia" w:eastAsiaTheme="minorEastAsia" w:cstheme="minorEastAsia"/>
        </w:rPr>
        <w:t>支付承包人撤离现场所发生的员工遣送费。</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79.国际工程项目标价计算中，将工程量清单中所有分项工程的合价汇总，即可计算出工程的总标价，总标价包括（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开办费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利润</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分项工程合价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分包工程总价</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 暂定金额</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80.按照《建设工程工程量清单计价规范》规定，工程量清单应当由分部分项工程量清单及（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）组成。</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项目编码</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 措施项目清单</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其他项目清单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 规费项目清单</w:t>
      </w:r>
    </w:p>
    <w:p>
      <w:pPr>
        <w:spacing w:line="240" w:lineRule="auto"/>
      </w:pPr>
      <w:r>
        <w:rPr>
          <w:rFonts w:hint="eastAsia" w:asciiTheme="minorEastAsia" w:hAnsiTheme="minorEastAsia" w:eastAsiaTheme="minorEastAsia" w:cstheme="minorEastAsia"/>
        </w:rPr>
        <w:t>E. 税金项目清单</w:t>
      </w: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ind w:firstLine="0" w:firstLineChars="200"/>
      </w:pPr>
    </w:p>
    <w:p>
      <w:pPr>
        <w:spacing w:line="0" w:lineRule="atLeast"/>
        <w:ind w:left="1460"/>
        <w:jc w:val="both"/>
        <w:rPr>
          <w:rFonts w:ascii="宋体" w:hAnsi="宋体" w:eastAsia="宋体"/>
          <w:b/>
          <w:sz w:val="32"/>
        </w:rPr>
      </w:pPr>
      <w:r>
        <w:rPr>
          <w:rFonts w:hint="eastAsia" w:ascii="宋体" w:hAnsi="宋体" w:eastAsia="宋体"/>
          <w:b/>
          <w:sz w:val="32"/>
          <w:lang w:val="en-US" w:eastAsia="zh-CN"/>
        </w:rPr>
        <w:t xml:space="preserve">   </w:t>
      </w:r>
      <w:r>
        <w:rPr>
          <w:rFonts w:ascii="宋体" w:hAnsi="宋体" w:eastAsia="宋体"/>
          <w:b/>
          <w:sz w:val="32"/>
        </w:rPr>
        <w:t>一级建造师模考题一参考答案</w:t>
      </w:r>
    </w:p>
    <w:p>
      <w:pPr>
        <w:spacing w:line="284" w:lineRule="exact"/>
        <w:jc w:val="center"/>
        <w:rPr>
          <w:rFonts w:ascii="Times New Roman" w:hAnsi="Times New Roman" w:eastAsia="Times New Roman"/>
          <w:sz w:val="24"/>
        </w:rPr>
      </w:pPr>
    </w:p>
    <w:p>
      <w:pPr>
        <w:spacing w:line="0" w:lineRule="atLeast"/>
        <w:ind w:left="3140"/>
        <w:jc w:val="both"/>
        <w:rPr>
          <w:rFonts w:ascii="宋体" w:hAnsi="宋体" w:eastAsia="宋体"/>
          <w:b/>
          <w:sz w:val="28"/>
        </w:rPr>
      </w:pPr>
      <w:r>
        <w:rPr>
          <w:rFonts w:ascii="宋体" w:hAnsi="宋体" w:eastAsia="宋体"/>
          <w:b/>
          <w:sz w:val="28"/>
        </w:rPr>
        <w:t>《建设工程经济》</w:t>
      </w:r>
    </w:p>
    <w:p>
      <w:pPr>
        <w:spacing w:line="215" w:lineRule="exact"/>
        <w:rPr>
          <w:rFonts w:ascii="Times New Roman" w:hAnsi="Times New Roman" w:eastAsia="Times New Roman"/>
          <w:sz w:val="24"/>
        </w:rPr>
      </w:pPr>
    </w:p>
    <w:tbl>
      <w:tblPr>
        <w:tblStyle w:val="5"/>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0"/>
        <w:gridCol w:w="880"/>
        <w:gridCol w:w="900"/>
        <w:gridCol w:w="880"/>
        <w:gridCol w:w="900"/>
        <w:gridCol w:w="900"/>
        <w:gridCol w:w="900"/>
        <w:gridCol w:w="900"/>
        <w:gridCol w:w="900"/>
        <w:gridCol w:w="860"/>
        <w:gridCol w:w="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4" w:hRule="atLeast"/>
        </w:trPr>
        <w:tc>
          <w:tcPr>
            <w:tcW w:w="960" w:type="dxa"/>
            <w:shd w:val="clear" w:color="auto" w:fill="auto"/>
            <w:vAlign w:val="bottom"/>
          </w:tcPr>
          <w:p>
            <w:pPr>
              <w:spacing w:line="0" w:lineRule="atLeast"/>
              <w:ind w:left="120"/>
              <w:rPr>
                <w:rFonts w:ascii="宋体" w:hAnsi="宋体" w:eastAsia="宋体"/>
                <w:b/>
                <w:sz w:val="24"/>
              </w:rPr>
            </w:pPr>
            <w:r>
              <w:rPr>
                <w:rFonts w:ascii="宋体" w:hAnsi="宋体" w:eastAsia="宋体"/>
                <w:b/>
                <w:sz w:val="24"/>
              </w:rPr>
              <w:t>一、</w:t>
            </w:r>
          </w:p>
        </w:tc>
        <w:tc>
          <w:tcPr>
            <w:tcW w:w="1780" w:type="dxa"/>
            <w:gridSpan w:val="2"/>
            <w:shd w:val="clear" w:color="auto" w:fill="auto"/>
            <w:vAlign w:val="bottom"/>
          </w:tcPr>
          <w:p>
            <w:pPr>
              <w:spacing w:line="0" w:lineRule="atLeast"/>
              <w:rPr>
                <w:rFonts w:ascii="宋体" w:hAnsi="宋体" w:eastAsia="宋体"/>
                <w:b/>
                <w:sz w:val="24"/>
              </w:rPr>
            </w:pPr>
            <w:r>
              <w:rPr>
                <w:rFonts w:ascii="宋体" w:hAnsi="宋体" w:eastAsia="宋体"/>
                <w:b/>
                <w:sz w:val="24"/>
              </w:rPr>
              <w:t>单项选择题</w:t>
            </w:r>
          </w:p>
        </w:tc>
        <w:tc>
          <w:tcPr>
            <w:tcW w:w="880" w:type="dxa"/>
            <w:shd w:val="clear" w:color="auto" w:fill="auto"/>
            <w:vAlign w:val="bottom"/>
          </w:tcPr>
          <w:p>
            <w:pPr>
              <w:spacing w:line="0" w:lineRule="atLeast"/>
              <w:rPr>
                <w:rFonts w:ascii="Times New Roman" w:hAnsi="Times New Roman" w:eastAsia="Times New Roman"/>
                <w:sz w:val="23"/>
              </w:rPr>
            </w:pPr>
          </w:p>
        </w:tc>
        <w:tc>
          <w:tcPr>
            <w:tcW w:w="900" w:type="dxa"/>
            <w:shd w:val="clear" w:color="auto" w:fill="auto"/>
            <w:vAlign w:val="bottom"/>
          </w:tcPr>
          <w:p>
            <w:pPr>
              <w:spacing w:line="0" w:lineRule="atLeast"/>
              <w:rPr>
                <w:rFonts w:ascii="Times New Roman" w:hAnsi="Times New Roman" w:eastAsia="Times New Roman"/>
                <w:sz w:val="23"/>
              </w:rPr>
            </w:pPr>
          </w:p>
        </w:tc>
        <w:tc>
          <w:tcPr>
            <w:tcW w:w="900" w:type="dxa"/>
            <w:shd w:val="clear" w:color="auto" w:fill="auto"/>
            <w:vAlign w:val="bottom"/>
          </w:tcPr>
          <w:p>
            <w:pPr>
              <w:spacing w:line="0" w:lineRule="atLeast"/>
              <w:rPr>
                <w:rFonts w:ascii="Times New Roman" w:hAnsi="Times New Roman" w:eastAsia="Times New Roman"/>
                <w:sz w:val="23"/>
              </w:rPr>
            </w:pPr>
          </w:p>
        </w:tc>
        <w:tc>
          <w:tcPr>
            <w:tcW w:w="900" w:type="dxa"/>
            <w:shd w:val="clear" w:color="auto" w:fill="auto"/>
            <w:vAlign w:val="bottom"/>
          </w:tcPr>
          <w:p>
            <w:pPr>
              <w:spacing w:line="0" w:lineRule="atLeast"/>
              <w:rPr>
                <w:rFonts w:ascii="Times New Roman" w:hAnsi="Times New Roman" w:eastAsia="Times New Roman"/>
                <w:sz w:val="23"/>
              </w:rPr>
            </w:pPr>
          </w:p>
        </w:tc>
        <w:tc>
          <w:tcPr>
            <w:tcW w:w="900" w:type="dxa"/>
            <w:shd w:val="clear" w:color="auto" w:fill="auto"/>
            <w:vAlign w:val="bottom"/>
          </w:tcPr>
          <w:p>
            <w:pPr>
              <w:spacing w:line="0" w:lineRule="atLeast"/>
              <w:rPr>
                <w:rFonts w:ascii="Times New Roman" w:hAnsi="Times New Roman" w:eastAsia="Times New Roman"/>
                <w:sz w:val="23"/>
              </w:rPr>
            </w:pPr>
          </w:p>
        </w:tc>
        <w:tc>
          <w:tcPr>
            <w:tcW w:w="900" w:type="dxa"/>
            <w:shd w:val="clear" w:color="auto" w:fill="auto"/>
            <w:vAlign w:val="bottom"/>
          </w:tcPr>
          <w:p>
            <w:pPr>
              <w:spacing w:line="0" w:lineRule="atLeast"/>
              <w:rPr>
                <w:rFonts w:ascii="Times New Roman" w:hAnsi="Times New Roman" w:eastAsia="Times New Roman"/>
                <w:sz w:val="23"/>
              </w:rPr>
            </w:pPr>
          </w:p>
        </w:tc>
        <w:tc>
          <w:tcPr>
            <w:tcW w:w="860" w:type="dxa"/>
            <w:shd w:val="clear" w:color="auto" w:fill="auto"/>
            <w:vAlign w:val="bottom"/>
          </w:tcPr>
          <w:p>
            <w:pPr>
              <w:spacing w:line="0" w:lineRule="atLeast"/>
              <w:rPr>
                <w:rFonts w:ascii="Times New Roman" w:hAnsi="Times New Roman" w:eastAsia="Times New Roman"/>
                <w:sz w:val="23"/>
              </w:rPr>
            </w:pPr>
          </w:p>
        </w:tc>
        <w:tc>
          <w:tcPr>
            <w:tcW w:w="40" w:type="dxa"/>
            <w:shd w:val="clear" w:color="auto" w:fill="auto"/>
            <w:vAlign w:val="bottom"/>
          </w:tcPr>
          <w:p>
            <w:pPr>
              <w:spacing w:line="0" w:lineRule="atLeast"/>
              <w:rPr>
                <w:rFonts w:ascii="Times New Roman" w:hAnsi="Times New Roman" w:eastAsia="Times New Roman"/>
                <w:sz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 w:hRule="atLeast"/>
        </w:trPr>
        <w:tc>
          <w:tcPr>
            <w:tcW w:w="96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88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88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86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4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7" w:hRule="atLeast"/>
        </w:trPr>
        <w:tc>
          <w:tcPr>
            <w:tcW w:w="960" w:type="dxa"/>
            <w:tcBorders>
              <w:left w:val="single" w:color="auto" w:sz="8" w:space="0"/>
              <w:right w:val="single" w:color="auto" w:sz="8" w:space="0"/>
            </w:tcBorders>
            <w:shd w:val="clear" w:color="auto" w:fill="auto"/>
            <w:vAlign w:val="bottom"/>
          </w:tcPr>
          <w:p>
            <w:pPr>
              <w:spacing w:line="0" w:lineRule="atLeast"/>
              <w:ind w:left="120"/>
              <w:rPr>
                <w:rFonts w:ascii="宋体" w:hAnsi="宋体" w:eastAsia="宋体"/>
                <w:sz w:val="24"/>
              </w:rPr>
            </w:pPr>
            <w:r>
              <w:rPr>
                <w:rFonts w:ascii="宋体" w:hAnsi="宋体" w:eastAsia="宋体"/>
                <w:sz w:val="24"/>
              </w:rPr>
              <w:t>1.B</w:t>
            </w:r>
          </w:p>
        </w:tc>
        <w:tc>
          <w:tcPr>
            <w:tcW w:w="880" w:type="dxa"/>
            <w:tcBorders>
              <w:right w:val="single" w:color="auto" w:sz="8" w:space="0"/>
            </w:tcBorders>
            <w:shd w:val="clear" w:color="auto" w:fill="auto"/>
            <w:vAlign w:val="bottom"/>
          </w:tcPr>
          <w:p>
            <w:pPr>
              <w:spacing w:line="0" w:lineRule="atLeast"/>
              <w:ind w:left="60"/>
              <w:rPr>
                <w:rFonts w:ascii="宋体" w:hAnsi="宋体" w:eastAsia="宋体"/>
                <w:sz w:val="24"/>
              </w:rPr>
            </w:pPr>
            <w:r>
              <w:rPr>
                <w:rFonts w:ascii="宋体" w:hAnsi="宋体" w:eastAsia="宋体"/>
                <w:sz w:val="24"/>
              </w:rPr>
              <w:t>2.A</w:t>
            </w:r>
          </w:p>
        </w:tc>
        <w:tc>
          <w:tcPr>
            <w:tcW w:w="90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3.B</w:t>
            </w:r>
          </w:p>
        </w:tc>
        <w:tc>
          <w:tcPr>
            <w:tcW w:w="88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4.C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5.C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6.D</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7.C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8.B</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9.A</w:t>
            </w:r>
          </w:p>
        </w:tc>
        <w:tc>
          <w:tcPr>
            <w:tcW w:w="900" w:type="dxa"/>
            <w:gridSpan w:val="2"/>
            <w:tcBorders>
              <w:right w:val="single" w:color="auto" w:sz="8" w:space="0"/>
            </w:tcBorders>
            <w:shd w:val="clear" w:color="auto" w:fill="auto"/>
            <w:vAlign w:val="bottom"/>
          </w:tcPr>
          <w:p>
            <w:pPr>
              <w:spacing w:line="0" w:lineRule="atLeast"/>
              <w:ind w:right="320"/>
              <w:jc w:val="right"/>
              <w:rPr>
                <w:rFonts w:ascii="宋体" w:hAnsi="宋体" w:eastAsia="宋体"/>
                <w:sz w:val="24"/>
              </w:rPr>
            </w:pPr>
            <w:r>
              <w:rPr>
                <w:rFonts w:ascii="宋体" w:hAnsi="宋体" w:eastAsia="宋体"/>
                <w:sz w:val="24"/>
              </w:rPr>
              <w:t>10.C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60" w:type="dxa"/>
            <w:tcBorders>
              <w:bottom w:val="single" w:color="auto" w:sz="8" w:space="0"/>
            </w:tcBorders>
            <w:shd w:val="clear" w:color="auto" w:fill="auto"/>
            <w:vAlign w:val="bottom"/>
          </w:tcPr>
          <w:p>
            <w:pPr>
              <w:spacing w:line="0" w:lineRule="atLeast"/>
              <w:rPr>
                <w:rFonts w:ascii="Times New Roman" w:hAnsi="Times New Roman" w:eastAsia="Times New Roman"/>
                <w:sz w:val="24"/>
              </w:rPr>
            </w:pPr>
          </w:p>
        </w:tc>
        <w:tc>
          <w:tcPr>
            <w:tcW w:w="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4" w:hRule="atLeast"/>
        </w:trPr>
        <w:tc>
          <w:tcPr>
            <w:tcW w:w="960" w:type="dxa"/>
            <w:tcBorders>
              <w:left w:val="single" w:color="auto" w:sz="8" w:space="0"/>
              <w:right w:val="single" w:color="auto" w:sz="8" w:space="0"/>
            </w:tcBorders>
            <w:shd w:val="clear" w:color="auto" w:fill="auto"/>
            <w:vAlign w:val="bottom"/>
          </w:tcPr>
          <w:p>
            <w:pPr>
              <w:spacing w:line="0" w:lineRule="atLeast"/>
              <w:ind w:left="120"/>
              <w:rPr>
                <w:rFonts w:ascii="宋体" w:hAnsi="宋体" w:eastAsia="宋体"/>
                <w:sz w:val="24"/>
              </w:rPr>
            </w:pPr>
            <w:r>
              <w:rPr>
                <w:rFonts w:ascii="宋体" w:hAnsi="宋体" w:eastAsia="宋体"/>
                <w:sz w:val="24"/>
              </w:rPr>
              <w:t>11.A</w:t>
            </w:r>
          </w:p>
        </w:tc>
        <w:tc>
          <w:tcPr>
            <w:tcW w:w="880" w:type="dxa"/>
            <w:tcBorders>
              <w:right w:val="single" w:color="auto" w:sz="8" w:space="0"/>
            </w:tcBorders>
            <w:shd w:val="clear" w:color="auto" w:fill="auto"/>
            <w:vAlign w:val="bottom"/>
          </w:tcPr>
          <w:p>
            <w:pPr>
              <w:spacing w:line="0" w:lineRule="atLeast"/>
              <w:ind w:left="60"/>
              <w:rPr>
                <w:rFonts w:ascii="宋体" w:hAnsi="宋体" w:eastAsia="宋体"/>
                <w:sz w:val="24"/>
              </w:rPr>
            </w:pPr>
            <w:r>
              <w:rPr>
                <w:rFonts w:ascii="宋体" w:hAnsi="宋体" w:eastAsia="宋体"/>
                <w:sz w:val="24"/>
              </w:rPr>
              <w:t>12.B</w:t>
            </w:r>
          </w:p>
        </w:tc>
        <w:tc>
          <w:tcPr>
            <w:tcW w:w="90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13.A</w:t>
            </w:r>
          </w:p>
        </w:tc>
        <w:tc>
          <w:tcPr>
            <w:tcW w:w="88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14.C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15.D</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16.B</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17.A</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18.D</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19.B</w:t>
            </w:r>
          </w:p>
        </w:tc>
        <w:tc>
          <w:tcPr>
            <w:tcW w:w="900" w:type="dxa"/>
            <w:gridSpan w:val="2"/>
            <w:tcBorders>
              <w:right w:val="single" w:color="auto" w:sz="8" w:space="0"/>
            </w:tcBorders>
            <w:shd w:val="clear" w:color="auto" w:fill="auto"/>
            <w:vAlign w:val="bottom"/>
          </w:tcPr>
          <w:p>
            <w:pPr>
              <w:spacing w:line="0" w:lineRule="atLeast"/>
              <w:ind w:right="320"/>
              <w:jc w:val="right"/>
              <w:rPr>
                <w:rFonts w:ascii="宋体" w:hAnsi="宋体" w:eastAsia="宋体"/>
                <w:sz w:val="24"/>
              </w:rPr>
            </w:pPr>
            <w:r>
              <w:rPr>
                <w:rFonts w:ascii="宋体" w:hAnsi="宋体" w:eastAsia="宋体"/>
                <w:sz w:val="24"/>
              </w:rPr>
              <w:t>20.D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60" w:type="dxa"/>
            <w:tcBorders>
              <w:bottom w:val="single" w:color="auto" w:sz="8" w:space="0"/>
            </w:tcBorders>
            <w:shd w:val="clear" w:color="auto" w:fill="auto"/>
            <w:vAlign w:val="bottom"/>
          </w:tcPr>
          <w:p>
            <w:pPr>
              <w:spacing w:line="0" w:lineRule="atLeast"/>
              <w:rPr>
                <w:rFonts w:ascii="Times New Roman" w:hAnsi="Times New Roman" w:eastAsia="Times New Roman"/>
                <w:sz w:val="24"/>
              </w:rPr>
            </w:pPr>
          </w:p>
        </w:tc>
        <w:tc>
          <w:tcPr>
            <w:tcW w:w="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7" w:hRule="atLeast"/>
        </w:trPr>
        <w:tc>
          <w:tcPr>
            <w:tcW w:w="960" w:type="dxa"/>
            <w:tcBorders>
              <w:left w:val="single" w:color="auto" w:sz="8" w:space="0"/>
              <w:right w:val="single" w:color="auto" w:sz="8" w:space="0"/>
            </w:tcBorders>
            <w:shd w:val="clear" w:color="auto" w:fill="auto"/>
            <w:vAlign w:val="bottom"/>
          </w:tcPr>
          <w:p>
            <w:pPr>
              <w:spacing w:line="0" w:lineRule="atLeast"/>
              <w:ind w:left="120"/>
              <w:rPr>
                <w:rFonts w:ascii="宋体" w:hAnsi="宋体" w:eastAsia="宋体"/>
                <w:sz w:val="24"/>
              </w:rPr>
            </w:pPr>
            <w:r>
              <w:rPr>
                <w:rFonts w:ascii="宋体" w:hAnsi="宋体" w:eastAsia="宋体"/>
                <w:sz w:val="24"/>
              </w:rPr>
              <w:t>21.B</w:t>
            </w:r>
          </w:p>
        </w:tc>
        <w:tc>
          <w:tcPr>
            <w:tcW w:w="880" w:type="dxa"/>
            <w:tcBorders>
              <w:right w:val="single" w:color="auto" w:sz="8" w:space="0"/>
            </w:tcBorders>
            <w:shd w:val="clear" w:color="auto" w:fill="auto"/>
            <w:vAlign w:val="bottom"/>
          </w:tcPr>
          <w:p>
            <w:pPr>
              <w:spacing w:line="0" w:lineRule="atLeast"/>
              <w:ind w:left="60"/>
              <w:rPr>
                <w:rFonts w:ascii="宋体" w:hAnsi="宋体" w:eastAsia="宋体"/>
                <w:sz w:val="24"/>
              </w:rPr>
            </w:pPr>
            <w:r>
              <w:rPr>
                <w:rFonts w:ascii="宋体" w:hAnsi="宋体" w:eastAsia="宋体"/>
                <w:sz w:val="24"/>
              </w:rPr>
              <w:t>22.C</w:t>
            </w:r>
          </w:p>
        </w:tc>
        <w:tc>
          <w:tcPr>
            <w:tcW w:w="90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23.B</w:t>
            </w:r>
          </w:p>
        </w:tc>
        <w:tc>
          <w:tcPr>
            <w:tcW w:w="88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24.D</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25.B</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26.C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27.A</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28.A</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29.A</w:t>
            </w:r>
          </w:p>
        </w:tc>
        <w:tc>
          <w:tcPr>
            <w:tcW w:w="900" w:type="dxa"/>
            <w:gridSpan w:val="2"/>
            <w:tcBorders>
              <w:right w:val="single" w:color="auto" w:sz="8" w:space="0"/>
            </w:tcBorders>
            <w:shd w:val="clear" w:color="auto" w:fill="auto"/>
            <w:vAlign w:val="bottom"/>
          </w:tcPr>
          <w:p>
            <w:pPr>
              <w:spacing w:line="0" w:lineRule="atLeast"/>
              <w:ind w:right="320"/>
              <w:jc w:val="right"/>
              <w:rPr>
                <w:rFonts w:ascii="宋体" w:hAnsi="宋体" w:eastAsia="宋体"/>
                <w:sz w:val="24"/>
              </w:rPr>
            </w:pPr>
            <w:r>
              <w:rPr>
                <w:rFonts w:ascii="宋体" w:hAnsi="宋体" w:eastAsia="宋体"/>
                <w:sz w:val="24"/>
              </w:rPr>
              <w:t>30.C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60" w:type="dxa"/>
            <w:tcBorders>
              <w:bottom w:val="single" w:color="auto" w:sz="8" w:space="0"/>
            </w:tcBorders>
            <w:shd w:val="clear" w:color="auto" w:fill="auto"/>
            <w:vAlign w:val="bottom"/>
          </w:tcPr>
          <w:p>
            <w:pPr>
              <w:spacing w:line="0" w:lineRule="atLeast"/>
              <w:rPr>
                <w:rFonts w:ascii="Times New Roman" w:hAnsi="Times New Roman" w:eastAsia="Times New Roman"/>
                <w:sz w:val="24"/>
              </w:rPr>
            </w:pPr>
          </w:p>
        </w:tc>
        <w:tc>
          <w:tcPr>
            <w:tcW w:w="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4" w:hRule="atLeast"/>
        </w:trPr>
        <w:tc>
          <w:tcPr>
            <w:tcW w:w="960" w:type="dxa"/>
            <w:tcBorders>
              <w:left w:val="single" w:color="auto" w:sz="8" w:space="0"/>
              <w:right w:val="single" w:color="auto" w:sz="8" w:space="0"/>
            </w:tcBorders>
            <w:shd w:val="clear" w:color="auto" w:fill="auto"/>
            <w:vAlign w:val="bottom"/>
          </w:tcPr>
          <w:p>
            <w:pPr>
              <w:spacing w:line="0" w:lineRule="atLeast"/>
              <w:ind w:left="120"/>
              <w:rPr>
                <w:rFonts w:ascii="宋体" w:hAnsi="宋体" w:eastAsia="宋体"/>
                <w:sz w:val="24"/>
              </w:rPr>
            </w:pPr>
            <w:r>
              <w:rPr>
                <w:rFonts w:ascii="宋体" w:hAnsi="宋体" w:eastAsia="宋体"/>
                <w:sz w:val="24"/>
              </w:rPr>
              <w:t>31.C</w:t>
            </w:r>
          </w:p>
        </w:tc>
        <w:tc>
          <w:tcPr>
            <w:tcW w:w="880" w:type="dxa"/>
            <w:tcBorders>
              <w:right w:val="single" w:color="auto" w:sz="8" w:space="0"/>
            </w:tcBorders>
            <w:shd w:val="clear" w:color="auto" w:fill="auto"/>
            <w:vAlign w:val="bottom"/>
          </w:tcPr>
          <w:p>
            <w:pPr>
              <w:spacing w:line="0" w:lineRule="atLeast"/>
              <w:ind w:left="60"/>
              <w:rPr>
                <w:rFonts w:ascii="宋体" w:hAnsi="宋体" w:eastAsia="宋体"/>
                <w:sz w:val="24"/>
              </w:rPr>
            </w:pPr>
            <w:r>
              <w:rPr>
                <w:rFonts w:ascii="宋体" w:hAnsi="宋体" w:eastAsia="宋体"/>
                <w:sz w:val="24"/>
              </w:rPr>
              <w:t>32.D</w:t>
            </w:r>
          </w:p>
        </w:tc>
        <w:tc>
          <w:tcPr>
            <w:tcW w:w="90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33.B</w:t>
            </w:r>
          </w:p>
        </w:tc>
        <w:tc>
          <w:tcPr>
            <w:tcW w:w="88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34.C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35.C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36.C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37.C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38.A</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39.B</w:t>
            </w:r>
          </w:p>
        </w:tc>
        <w:tc>
          <w:tcPr>
            <w:tcW w:w="900" w:type="dxa"/>
            <w:gridSpan w:val="2"/>
            <w:tcBorders>
              <w:right w:val="single" w:color="auto" w:sz="8" w:space="0"/>
            </w:tcBorders>
            <w:shd w:val="clear" w:color="auto" w:fill="auto"/>
            <w:vAlign w:val="bottom"/>
          </w:tcPr>
          <w:p>
            <w:pPr>
              <w:spacing w:line="0" w:lineRule="atLeast"/>
              <w:ind w:right="320"/>
              <w:jc w:val="right"/>
              <w:rPr>
                <w:rFonts w:ascii="宋体" w:hAnsi="宋体" w:eastAsia="宋体"/>
                <w:sz w:val="24"/>
              </w:rPr>
            </w:pPr>
            <w:r>
              <w:rPr>
                <w:rFonts w:ascii="宋体" w:hAnsi="宋体" w:eastAsia="宋体"/>
                <w:sz w:val="24"/>
              </w:rPr>
              <w:t>40.D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60" w:type="dxa"/>
            <w:tcBorders>
              <w:bottom w:val="single" w:color="auto" w:sz="8" w:space="0"/>
            </w:tcBorders>
            <w:shd w:val="clear" w:color="auto" w:fill="auto"/>
            <w:vAlign w:val="bottom"/>
          </w:tcPr>
          <w:p>
            <w:pPr>
              <w:spacing w:line="0" w:lineRule="atLeast"/>
              <w:rPr>
                <w:rFonts w:ascii="Times New Roman" w:hAnsi="Times New Roman" w:eastAsia="Times New Roman"/>
                <w:sz w:val="24"/>
              </w:rPr>
            </w:pPr>
          </w:p>
        </w:tc>
        <w:tc>
          <w:tcPr>
            <w:tcW w:w="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7" w:hRule="atLeast"/>
        </w:trPr>
        <w:tc>
          <w:tcPr>
            <w:tcW w:w="960" w:type="dxa"/>
            <w:tcBorders>
              <w:left w:val="single" w:color="auto" w:sz="8" w:space="0"/>
              <w:right w:val="single" w:color="auto" w:sz="8" w:space="0"/>
            </w:tcBorders>
            <w:shd w:val="clear" w:color="auto" w:fill="auto"/>
            <w:vAlign w:val="bottom"/>
          </w:tcPr>
          <w:p>
            <w:pPr>
              <w:spacing w:line="0" w:lineRule="atLeast"/>
              <w:ind w:left="120"/>
              <w:rPr>
                <w:rFonts w:ascii="宋体" w:hAnsi="宋体" w:eastAsia="宋体"/>
                <w:sz w:val="24"/>
              </w:rPr>
            </w:pPr>
            <w:r>
              <w:rPr>
                <w:rFonts w:ascii="宋体" w:hAnsi="宋体" w:eastAsia="宋体"/>
                <w:sz w:val="24"/>
              </w:rPr>
              <w:t>41.B</w:t>
            </w:r>
          </w:p>
        </w:tc>
        <w:tc>
          <w:tcPr>
            <w:tcW w:w="880" w:type="dxa"/>
            <w:tcBorders>
              <w:right w:val="single" w:color="auto" w:sz="8" w:space="0"/>
            </w:tcBorders>
            <w:shd w:val="clear" w:color="auto" w:fill="auto"/>
            <w:vAlign w:val="bottom"/>
          </w:tcPr>
          <w:p>
            <w:pPr>
              <w:spacing w:line="0" w:lineRule="atLeast"/>
              <w:ind w:left="60"/>
              <w:rPr>
                <w:rFonts w:ascii="宋体" w:hAnsi="宋体" w:eastAsia="宋体"/>
                <w:sz w:val="24"/>
              </w:rPr>
            </w:pPr>
            <w:r>
              <w:rPr>
                <w:rFonts w:ascii="宋体" w:hAnsi="宋体" w:eastAsia="宋体"/>
                <w:sz w:val="24"/>
              </w:rPr>
              <w:t>42.B</w:t>
            </w:r>
          </w:p>
        </w:tc>
        <w:tc>
          <w:tcPr>
            <w:tcW w:w="90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43.C</w:t>
            </w:r>
          </w:p>
        </w:tc>
        <w:tc>
          <w:tcPr>
            <w:tcW w:w="88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44.B</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45.A</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46.D</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47.A</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48.B</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49.B</w:t>
            </w:r>
          </w:p>
        </w:tc>
        <w:tc>
          <w:tcPr>
            <w:tcW w:w="900" w:type="dxa"/>
            <w:gridSpan w:val="2"/>
            <w:tcBorders>
              <w:right w:val="single" w:color="auto" w:sz="8" w:space="0"/>
            </w:tcBorders>
            <w:shd w:val="clear" w:color="auto" w:fill="auto"/>
            <w:vAlign w:val="bottom"/>
          </w:tcPr>
          <w:p>
            <w:pPr>
              <w:spacing w:line="0" w:lineRule="atLeast"/>
              <w:ind w:right="320"/>
              <w:jc w:val="right"/>
              <w:rPr>
                <w:rFonts w:ascii="宋体" w:hAnsi="宋体" w:eastAsia="宋体"/>
                <w:sz w:val="24"/>
              </w:rPr>
            </w:pPr>
            <w:r>
              <w:rPr>
                <w:rFonts w:ascii="宋体" w:hAnsi="宋体" w:eastAsia="宋体"/>
                <w:sz w:val="24"/>
              </w:rPr>
              <w:t>50.B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60" w:type="dxa"/>
            <w:tcBorders>
              <w:bottom w:val="single" w:color="auto" w:sz="8" w:space="0"/>
            </w:tcBorders>
            <w:shd w:val="clear" w:color="auto" w:fill="auto"/>
            <w:vAlign w:val="bottom"/>
          </w:tcPr>
          <w:p>
            <w:pPr>
              <w:spacing w:line="0" w:lineRule="atLeast"/>
              <w:rPr>
                <w:rFonts w:ascii="Times New Roman" w:hAnsi="Times New Roman" w:eastAsia="Times New Roman"/>
                <w:sz w:val="24"/>
              </w:rPr>
            </w:pPr>
          </w:p>
        </w:tc>
        <w:tc>
          <w:tcPr>
            <w:tcW w:w="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4" w:hRule="atLeast"/>
        </w:trPr>
        <w:tc>
          <w:tcPr>
            <w:tcW w:w="960" w:type="dxa"/>
            <w:tcBorders>
              <w:left w:val="single" w:color="auto" w:sz="8" w:space="0"/>
              <w:right w:val="single" w:color="auto" w:sz="8" w:space="0"/>
            </w:tcBorders>
            <w:shd w:val="clear" w:color="auto" w:fill="auto"/>
            <w:vAlign w:val="bottom"/>
          </w:tcPr>
          <w:p>
            <w:pPr>
              <w:spacing w:line="0" w:lineRule="atLeast"/>
              <w:ind w:left="120"/>
              <w:rPr>
                <w:rFonts w:ascii="宋体" w:hAnsi="宋体" w:eastAsia="宋体"/>
                <w:sz w:val="24"/>
              </w:rPr>
            </w:pPr>
            <w:r>
              <w:rPr>
                <w:rFonts w:ascii="宋体" w:hAnsi="宋体" w:eastAsia="宋体"/>
                <w:sz w:val="24"/>
              </w:rPr>
              <w:t>51.D</w:t>
            </w:r>
          </w:p>
        </w:tc>
        <w:tc>
          <w:tcPr>
            <w:tcW w:w="880" w:type="dxa"/>
            <w:tcBorders>
              <w:right w:val="single" w:color="auto" w:sz="8" w:space="0"/>
            </w:tcBorders>
            <w:shd w:val="clear" w:color="auto" w:fill="auto"/>
            <w:vAlign w:val="bottom"/>
          </w:tcPr>
          <w:p>
            <w:pPr>
              <w:spacing w:line="0" w:lineRule="atLeast"/>
              <w:ind w:left="60"/>
              <w:rPr>
                <w:rFonts w:ascii="宋体" w:hAnsi="宋体" w:eastAsia="宋体"/>
                <w:sz w:val="24"/>
              </w:rPr>
            </w:pPr>
            <w:r>
              <w:rPr>
                <w:rFonts w:ascii="宋体" w:hAnsi="宋体" w:eastAsia="宋体"/>
                <w:sz w:val="24"/>
              </w:rPr>
              <w:t>52.A</w:t>
            </w:r>
          </w:p>
        </w:tc>
        <w:tc>
          <w:tcPr>
            <w:tcW w:w="90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53.C</w:t>
            </w:r>
          </w:p>
        </w:tc>
        <w:tc>
          <w:tcPr>
            <w:tcW w:w="880" w:type="dxa"/>
            <w:tcBorders>
              <w:right w:val="single" w:color="auto" w:sz="8" w:space="0"/>
            </w:tcBorders>
            <w:shd w:val="clear" w:color="auto" w:fill="auto"/>
            <w:vAlign w:val="bottom"/>
          </w:tcPr>
          <w:p>
            <w:pPr>
              <w:spacing w:line="0" w:lineRule="atLeast"/>
              <w:ind w:left="80"/>
              <w:rPr>
                <w:rFonts w:ascii="宋体" w:hAnsi="宋体" w:eastAsia="宋体"/>
                <w:sz w:val="24"/>
              </w:rPr>
            </w:pPr>
            <w:r>
              <w:rPr>
                <w:rFonts w:ascii="宋体" w:hAnsi="宋体" w:eastAsia="宋体"/>
                <w:sz w:val="24"/>
              </w:rPr>
              <w:t>54.C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55.B</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56.C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57.C</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58.D</w:t>
            </w:r>
          </w:p>
        </w:tc>
        <w:tc>
          <w:tcPr>
            <w:tcW w:w="900" w:type="dxa"/>
            <w:tcBorders>
              <w:right w:val="single" w:color="auto" w:sz="8" w:space="0"/>
            </w:tcBorders>
            <w:shd w:val="clear" w:color="auto" w:fill="auto"/>
            <w:vAlign w:val="bottom"/>
          </w:tcPr>
          <w:p>
            <w:pPr>
              <w:spacing w:line="0" w:lineRule="atLeast"/>
              <w:ind w:left="100"/>
              <w:rPr>
                <w:rFonts w:ascii="宋体" w:hAnsi="宋体" w:eastAsia="宋体"/>
                <w:sz w:val="24"/>
              </w:rPr>
            </w:pPr>
            <w:r>
              <w:rPr>
                <w:rFonts w:ascii="宋体" w:hAnsi="宋体" w:eastAsia="宋体"/>
                <w:sz w:val="24"/>
              </w:rPr>
              <w:t>59.B</w:t>
            </w:r>
          </w:p>
        </w:tc>
        <w:tc>
          <w:tcPr>
            <w:tcW w:w="900" w:type="dxa"/>
            <w:gridSpan w:val="2"/>
            <w:tcBorders>
              <w:right w:val="single" w:color="auto" w:sz="8" w:space="0"/>
            </w:tcBorders>
            <w:shd w:val="clear" w:color="auto" w:fill="auto"/>
            <w:vAlign w:val="bottom"/>
          </w:tcPr>
          <w:p>
            <w:pPr>
              <w:spacing w:line="0" w:lineRule="atLeast"/>
              <w:ind w:right="320"/>
              <w:jc w:val="right"/>
              <w:rPr>
                <w:rFonts w:ascii="宋体" w:hAnsi="宋体" w:eastAsia="宋体"/>
                <w:sz w:val="24"/>
              </w:rPr>
            </w:pPr>
            <w:r>
              <w:rPr>
                <w:rFonts w:ascii="宋体" w:hAnsi="宋体" w:eastAsia="宋体"/>
                <w:sz w:val="24"/>
              </w:rPr>
              <w:t>60.C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6" w:hRule="atLeast"/>
        </w:trPr>
        <w:tc>
          <w:tcPr>
            <w:tcW w:w="9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c>
          <w:tcPr>
            <w:tcW w:w="860" w:type="dxa"/>
            <w:tcBorders>
              <w:bottom w:val="single" w:color="auto" w:sz="8" w:space="0"/>
            </w:tcBorders>
            <w:shd w:val="clear" w:color="auto" w:fill="auto"/>
            <w:vAlign w:val="bottom"/>
          </w:tcPr>
          <w:p>
            <w:pPr>
              <w:spacing w:line="0" w:lineRule="atLeast"/>
              <w:rPr>
                <w:rFonts w:ascii="Times New Roman" w:hAnsi="Times New Roman" w:eastAsia="Times New Roman"/>
                <w:sz w:val="24"/>
              </w:rPr>
            </w:pPr>
          </w:p>
        </w:tc>
        <w:tc>
          <w:tcPr>
            <w:tcW w:w="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7" w:hRule="atLeast"/>
        </w:trPr>
        <w:tc>
          <w:tcPr>
            <w:tcW w:w="1840" w:type="dxa"/>
            <w:gridSpan w:val="2"/>
            <w:shd w:val="clear" w:color="auto" w:fill="auto"/>
            <w:vAlign w:val="bottom"/>
          </w:tcPr>
          <w:p>
            <w:pPr>
              <w:spacing w:line="0" w:lineRule="atLeast"/>
              <w:ind w:left="120"/>
              <w:rPr>
                <w:rFonts w:ascii="宋体" w:hAnsi="宋体" w:eastAsia="宋体"/>
                <w:b/>
                <w:w w:val="99"/>
                <w:sz w:val="24"/>
              </w:rPr>
            </w:pPr>
            <w:r>
              <w:rPr>
                <w:rFonts w:ascii="宋体" w:hAnsi="宋体" w:eastAsia="宋体"/>
                <w:b/>
                <w:w w:val="99"/>
                <w:sz w:val="24"/>
              </w:rPr>
              <w:t>二、多项选择题</w:t>
            </w:r>
          </w:p>
        </w:tc>
        <w:tc>
          <w:tcPr>
            <w:tcW w:w="900" w:type="dxa"/>
            <w:shd w:val="clear" w:color="auto" w:fill="auto"/>
            <w:vAlign w:val="bottom"/>
          </w:tcPr>
          <w:p>
            <w:pPr>
              <w:spacing w:line="0" w:lineRule="atLeast"/>
              <w:rPr>
                <w:rFonts w:ascii="Times New Roman" w:hAnsi="Times New Roman" w:eastAsia="Times New Roman"/>
                <w:sz w:val="24"/>
              </w:rPr>
            </w:pPr>
          </w:p>
        </w:tc>
        <w:tc>
          <w:tcPr>
            <w:tcW w:w="880" w:type="dxa"/>
            <w:shd w:val="clear" w:color="auto" w:fill="auto"/>
            <w:vAlign w:val="bottom"/>
          </w:tcPr>
          <w:p>
            <w:pPr>
              <w:spacing w:line="0" w:lineRule="atLeast"/>
              <w:rPr>
                <w:rFonts w:ascii="Times New Roman" w:hAnsi="Times New Roman" w:eastAsia="Times New Roman"/>
                <w:sz w:val="24"/>
              </w:rPr>
            </w:pPr>
          </w:p>
        </w:tc>
        <w:tc>
          <w:tcPr>
            <w:tcW w:w="900" w:type="dxa"/>
            <w:shd w:val="clear" w:color="auto" w:fill="auto"/>
            <w:vAlign w:val="bottom"/>
          </w:tcPr>
          <w:p>
            <w:pPr>
              <w:spacing w:line="0" w:lineRule="atLeast"/>
              <w:rPr>
                <w:rFonts w:ascii="Times New Roman" w:hAnsi="Times New Roman" w:eastAsia="Times New Roman"/>
                <w:sz w:val="24"/>
              </w:rPr>
            </w:pPr>
          </w:p>
        </w:tc>
        <w:tc>
          <w:tcPr>
            <w:tcW w:w="900" w:type="dxa"/>
            <w:shd w:val="clear" w:color="auto" w:fill="auto"/>
            <w:vAlign w:val="bottom"/>
          </w:tcPr>
          <w:p>
            <w:pPr>
              <w:spacing w:line="0" w:lineRule="atLeast"/>
              <w:rPr>
                <w:rFonts w:ascii="Times New Roman" w:hAnsi="Times New Roman" w:eastAsia="Times New Roman"/>
                <w:sz w:val="24"/>
              </w:rPr>
            </w:pPr>
          </w:p>
        </w:tc>
        <w:tc>
          <w:tcPr>
            <w:tcW w:w="900" w:type="dxa"/>
            <w:shd w:val="clear" w:color="auto" w:fill="auto"/>
            <w:vAlign w:val="bottom"/>
          </w:tcPr>
          <w:p>
            <w:pPr>
              <w:spacing w:line="0" w:lineRule="atLeast"/>
              <w:rPr>
                <w:rFonts w:ascii="Times New Roman" w:hAnsi="Times New Roman" w:eastAsia="Times New Roman"/>
                <w:sz w:val="24"/>
              </w:rPr>
            </w:pPr>
          </w:p>
        </w:tc>
        <w:tc>
          <w:tcPr>
            <w:tcW w:w="900" w:type="dxa"/>
            <w:shd w:val="clear" w:color="auto" w:fill="auto"/>
            <w:vAlign w:val="bottom"/>
          </w:tcPr>
          <w:p>
            <w:pPr>
              <w:spacing w:line="0" w:lineRule="atLeast"/>
              <w:rPr>
                <w:rFonts w:ascii="Times New Roman" w:hAnsi="Times New Roman" w:eastAsia="Times New Roman"/>
                <w:sz w:val="24"/>
              </w:rPr>
            </w:pPr>
          </w:p>
        </w:tc>
        <w:tc>
          <w:tcPr>
            <w:tcW w:w="900" w:type="dxa"/>
            <w:shd w:val="clear" w:color="auto" w:fill="auto"/>
            <w:vAlign w:val="bottom"/>
          </w:tcPr>
          <w:p>
            <w:pPr>
              <w:spacing w:line="0" w:lineRule="atLeast"/>
              <w:rPr>
                <w:rFonts w:ascii="Times New Roman" w:hAnsi="Times New Roman" w:eastAsia="Times New Roman"/>
                <w:sz w:val="24"/>
              </w:rPr>
            </w:pPr>
          </w:p>
        </w:tc>
        <w:tc>
          <w:tcPr>
            <w:tcW w:w="860" w:type="dxa"/>
            <w:shd w:val="clear" w:color="auto" w:fill="auto"/>
            <w:vAlign w:val="bottom"/>
          </w:tcPr>
          <w:p>
            <w:pPr>
              <w:spacing w:line="0" w:lineRule="atLeast"/>
              <w:rPr>
                <w:rFonts w:ascii="Times New Roman" w:hAnsi="Times New Roman" w:eastAsia="Times New Roman"/>
                <w:sz w:val="24"/>
              </w:rPr>
            </w:pPr>
          </w:p>
        </w:tc>
        <w:tc>
          <w:tcPr>
            <w:tcW w:w="40" w:type="dxa"/>
            <w:shd w:val="clear" w:color="auto" w:fill="auto"/>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 w:hRule="atLeast"/>
        </w:trPr>
        <w:tc>
          <w:tcPr>
            <w:tcW w:w="96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88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88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90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860" w:type="dxa"/>
            <w:tcBorders>
              <w:bottom w:val="single" w:color="auto" w:sz="8" w:space="0"/>
            </w:tcBorders>
            <w:shd w:val="clear" w:color="auto" w:fill="auto"/>
            <w:vAlign w:val="bottom"/>
          </w:tcPr>
          <w:p>
            <w:pPr>
              <w:spacing w:line="0" w:lineRule="atLeast"/>
              <w:rPr>
                <w:rFonts w:ascii="Times New Roman" w:hAnsi="Times New Roman" w:eastAsia="Times New Roman"/>
                <w:sz w:val="6"/>
              </w:rPr>
            </w:pPr>
          </w:p>
        </w:tc>
        <w:tc>
          <w:tcPr>
            <w:tcW w:w="40" w:type="dxa"/>
            <w:shd w:val="clear" w:color="auto" w:fill="auto"/>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960" w:type="dxa"/>
            <w:tcBorders>
              <w:left w:val="single" w:color="auto" w:sz="8" w:space="0"/>
              <w:right w:val="single" w:color="auto" w:sz="8" w:space="0"/>
            </w:tcBorders>
            <w:shd w:val="clear" w:color="auto" w:fill="auto"/>
            <w:vAlign w:val="bottom"/>
          </w:tcPr>
          <w:p>
            <w:pPr>
              <w:spacing w:line="0" w:lineRule="atLeast"/>
              <w:ind w:left="280"/>
              <w:rPr>
                <w:rFonts w:ascii="宋体" w:hAnsi="宋体" w:eastAsia="宋体"/>
                <w:sz w:val="24"/>
              </w:rPr>
            </w:pPr>
            <w:r>
              <w:rPr>
                <w:rFonts w:ascii="宋体" w:hAnsi="宋体" w:eastAsia="宋体"/>
                <w:sz w:val="24"/>
              </w:rPr>
              <w:t>61.</w:t>
            </w:r>
          </w:p>
        </w:tc>
        <w:tc>
          <w:tcPr>
            <w:tcW w:w="880" w:type="dxa"/>
            <w:tcBorders>
              <w:right w:val="single" w:color="auto" w:sz="8" w:space="0"/>
            </w:tcBorders>
            <w:shd w:val="clear" w:color="auto" w:fill="auto"/>
            <w:vAlign w:val="bottom"/>
          </w:tcPr>
          <w:p>
            <w:pPr>
              <w:spacing w:line="0" w:lineRule="atLeast"/>
              <w:ind w:left="220"/>
              <w:rPr>
                <w:rFonts w:ascii="宋体" w:hAnsi="宋体" w:eastAsia="宋体"/>
                <w:sz w:val="24"/>
              </w:rPr>
            </w:pPr>
            <w:r>
              <w:rPr>
                <w:rFonts w:ascii="宋体" w:hAnsi="宋体" w:eastAsia="宋体"/>
                <w:sz w:val="24"/>
              </w:rPr>
              <w:t>62.</w:t>
            </w:r>
          </w:p>
        </w:tc>
        <w:tc>
          <w:tcPr>
            <w:tcW w:w="900" w:type="dxa"/>
            <w:tcBorders>
              <w:right w:val="single" w:color="auto" w:sz="8" w:space="0"/>
            </w:tcBorders>
            <w:shd w:val="clear" w:color="auto" w:fill="auto"/>
            <w:vAlign w:val="bottom"/>
          </w:tcPr>
          <w:p>
            <w:pPr>
              <w:spacing w:line="0" w:lineRule="atLeast"/>
              <w:ind w:left="220"/>
              <w:rPr>
                <w:rFonts w:ascii="宋体" w:hAnsi="宋体" w:eastAsia="宋体"/>
                <w:sz w:val="24"/>
              </w:rPr>
            </w:pPr>
            <w:r>
              <w:rPr>
                <w:rFonts w:ascii="宋体" w:hAnsi="宋体" w:eastAsia="宋体"/>
                <w:sz w:val="24"/>
              </w:rPr>
              <w:t>63.</w:t>
            </w:r>
          </w:p>
        </w:tc>
        <w:tc>
          <w:tcPr>
            <w:tcW w:w="88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64.</w:t>
            </w:r>
          </w:p>
        </w:tc>
        <w:tc>
          <w:tcPr>
            <w:tcW w:w="900" w:type="dxa"/>
            <w:tcBorders>
              <w:right w:val="single" w:color="auto" w:sz="8" w:space="0"/>
            </w:tcBorders>
            <w:shd w:val="clear" w:color="auto" w:fill="auto"/>
            <w:vAlign w:val="bottom"/>
          </w:tcPr>
          <w:p>
            <w:pPr>
              <w:spacing w:line="0" w:lineRule="atLeast"/>
              <w:ind w:left="240"/>
              <w:rPr>
                <w:rFonts w:ascii="宋体" w:hAnsi="宋体" w:eastAsia="宋体"/>
                <w:sz w:val="24"/>
              </w:rPr>
            </w:pPr>
            <w:r>
              <w:rPr>
                <w:rFonts w:ascii="宋体" w:hAnsi="宋体" w:eastAsia="宋体"/>
                <w:sz w:val="24"/>
              </w:rPr>
              <w:t>65.</w:t>
            </w:r>
          </w:p>
        </w:tc>
        <w:tc>
          <w:tcPr>
            <w:tcW w:w="900" w:type="dxa"/>
            <w:tcBorders>
              <w:right w:val="single" w:color="auto" w:sz="8" w:space="0"/>
            </w:tcBorders>
            <w:shd w:val="clear" w:color="auto" w:fill="auto"/>
            <w:vAlign w:val="bottom"/>
          </w:tcPr>
          <w:p>
            <w:pPr>
              <w:spacing w:line="0" w:lineRule="atLeast"/>
              <w:ind w:left="240"/>
              <w:rPr>
                <w:rFonts w:ascii="宋体" w:hAnsi="宋体" w:eastAsia="宋体"/>
                <w:sz w:val="24"/>
              </w:rPr>
            </w:pPr>
            <w:r>
              <w:rPr>
                <w:rFonts w:ascii="宋体" w:hAnsi="宋体" w:eastAsia="宋体"/>
                <w:sz w:val="24"/>
              </w:rPr>
              <w:t>66.</w:t>
            </w:r>
          </w:p>
        </w:tc>
        <w:tc>
          <w:tcPr>
            <w:tcW w:w="90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67.</w:t>
            </w:r>
          </w:p>
        </w:tc>
        <w:tc>
          <w:tcPr>
            <w:tcW w:w="90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68.</w:t>
            </w:r>
          </w:p>
        </w:tc>
        <w:tc>
          <w:tcPr>
            <w:tcW w:w="900" w:type="dxa"/>
            <w:tcBorders>
              <w:right w:val="single" w:color="auto" w:sz="8" w:space="0"/>
            </w:tcBorders>
            <w:shd w:val="clear" w:color="auto" w:fill="auto"/>
            <w:vAlign w:val="bottom"/>
          </w:tcPr>
          <w:p>
            <w:pPr>
              <w:spacing w:line="0" w:lineRule="atLeast"/>
              <w:ind w:left="220"/>
              <w:rPr>
                <w:rFonts w:ascii="宋体" w:hAnsi="宋体" w:eastAsia="宋体"/>
                <w:sz w:val="24"/>
              </w:rPr>
            </w:pPr>
            <w:r>
              <w:rPr>
                <w:rFonts w:ascii="宋体" w:hAnsi="宋体" w:eastAsia="宋体"/>
                <w:sz w:val="24"/>
              </w:rPr>
              <w:t>69.</w:t>
            </w:r>
          </w:p>
        </w:tc>
        <w:tc>
          <w:tcPr>
            <w:tcW w:w="860" w:type="dxa"/>
            <w:tcBorders>
              <w:right w:val="single" w:color="auto" w:sz="8" w:space="0"/>
            </w:tcBorders>
            <w:shd w:val="clear" w:color="auto" w:fill="auto"/>
            <w:vAlign w:val="bottom"/>
          </w:tcPr>
          <w:p>
            <w:pPr>
              <w:spacing w:line="0" w:lineRule="atLeast"/>
              <w:ind w:right="160"/>
              <w:jc w:val="right"/>
              <w:rPr>
                <w:rFonts w:ascii="宋体" w:hAnsi="宋体" w:eastAsia="宋体"/>
                <w:sz w:val="24"/>
              </w:rPr>
            </w:pPr>
            <w:r>
              <w:rPr>
                <w:rFonts w:ascii="宋体" w:hAnsi="宋体" w:eastAsia="宋体"/>
                <w:sz w:val="24"/>
              </w:rPr>
              <w:t>70.</w:t>
            </w:r>
          </w:p>
        </w:tc>
        <w:tc>
          <w:tcPr>
            <w:tcW w:w="40" w:type="dxa"/>
            <w:shd w:val="clear" w:color="auto" w:fill="auto"/>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atLeast"/>
        </w:trPr>
        <w:tc>
          <w:tcPr>
            <w:tcW w:w="960" w:type="dxa"/>
            <w:tcBorders>
              <w:left w:val="single" w:color="auto" w:sz="8" w:space="0"/>
              <w:right w:val="single" w:color="auto" w:sz="8" w:space="0"/>
            </w:tcBorders>
            <w:shd w:val="clear" w:color="auto" w:fill="auto"/>
            <w:vAlign w:val="bottom"/>
          </w:tcPr>
          <w:p>
            <w:pPr>
              <w:spacing w:line="0" w:lineRule="atLeast"/>
              <w:ind w:left="280"/>
              <w:rPr>
                <w:rFonts w:ascii="宋体" w:hAnsi="宋体" w:eastAsia="宋体"/>
                <w:sz w:val="24"/>
              </w:rPr>
            </w:pPr>
            <w:r>
              <w:rPr>
                <w:rFonts w:ascii="宋体" w:hAnsi="宋体" w:eastAsia="宋体"/>
                <w:sz w:val="24"/>
              </w:rPr>
              <w:t>ABD</w:t>
            </w:r>
          </w:p>
        </w:tc>
        <w:tc>
          <w:tcPr>
            <w:tcW w:w="880" w:type="dxa"/>
            <w:tcBorders>
              <w:right w:val="single" w:color="auto" w:sz="8" w:space="0"/>
            </w:tcBorders>
            <w:shd w:val="clear" w:color="auto" w:fill="auto"/>
            <w:vAlign w:val="bottom"/>
          </w:tcPr>
          <w:p>
            <w:pPr>
              <w:spacing w:line="0" w:lineRule="atLeast"/>
              <w:ind w:left="280"/>
              <w:rPr>
                <w:rFonts w:ascii="宋体" w:hAnsi="宋体" w:eastAsia="宋体"/>
                <w:sz w:val="24"/>
              </w:rPr>
            </w:pPr>
            <w:r>
              <w:rPr>
                <w:rFonts w:ascii="宋体" w:hAnsi="宋体" w:eastAsia="宋体"/>
                <w:sz w:val="24"/>
              </w:rPr>
              <w:t>DE</w:t>
            </w:r>
          </w:p>
        </w:tc>
        <w:tc>
          <w:tcPr>
            <w:tcW w:w="900" w:type="dxa"/>
            <w:tcBorders>
              <w:right w:val="single" w:color="auto" w:sz="8" w:space="0"/>
            </w:tcBorders>
            <w:shd w:val="clear" w:color="auto" w:fill="auto"/>
            <w:vAlign w:val="bottom"/>
          </w:tcPr>
          <w:p>
            <w:pPr>
              <w:spacing w:line="0" w:lineRule="atLeast"/>
              <w:ind w:left="220"/>
              <w:rPr>
                <w:rFonts w:ascii="宋体" w:hAnsi="宋体" w:eastAsia="宋体"/>
                <w:sz w:val="24"/>
              </w:rPr>
            </w:pPr>
            <w:r>
              <w:rPr>
                <w:rFonts w:ascii="宋体" w:hAnsi="宋体" w:eastAsia="宋体"/>
                <w:sz w:val="24"/>
              </w:rPr>
              <w:t>BDE</w:t>
            </w:r>
          </w:p>
        </w:tc>
        <w:tc>
          <w:tcPr>
            <w:tcW w:w="88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BCD</w:t>
            </w:r>
          </w:p>
        </w:tc>
        <w:tc>
          <w:tcPr>
            <w:tcW w:w="900" w:type="dxa"/>
            <w:tcBorders>
              <w:right w:val="single" w:color="auto" w:sz="8" w:space="0"/>
            </w:tcBorders>
            <w:shd w:val="clear" w:color="auto" w:fill="auto"/>
            <w:vAlign w:val="bottom"/>
          </w:tcPr>
          <w:p>
            <w:pPr>
              <w:spacing w:line="0" w:lineRule="atLeast"/>
              <w:ind w:left="240"/>
              <w:rPr>
                <w:rFonts w:ascii="宋体" w:hAnsi="宋体" w:eastAsia="宋体"/>
                <w:sz w:val="24"/>
              </w:rPr>
            </w:pPr>
            <w:r>
              <w:rPr>
                <w:rFonts w:ascii="宋体" w:hAnsi="宋体" w:eastAsia="宋体"/>
                <w:sz w:val="24"/>
              </w:rPr>
              <w:t>BDE</w:t>
            </w:r>
          </w:p>
        </w:tc>
        <w:tc>
          <w:tcPr>
            <w:tcW w:w="900" w:type="dxa"/>
            <w:tcBorders>
              <w:right w:val="single" w:color="auto" w:sz="8" w:space="0"/>
            </w:tcBorders>
            <w:shd w:val="clear" w:color="auto" w:fill="auto"/>
            <w:vAlign w:val="bottom"/>
          </w:tcPr>
          <w:p>
            <w:pPr>
              <w:spacing w:line="0" w:lineRule="atLeast"/>
              <w:ind w:left="240"/>
              <w:rPr>
                <w:rFonts w:ascii="宋体" w:hAnsi="宋体" w:eastAsia="宋体"/>
                <w:sz w:val="24"/>
              </w:rPr>
            </w:pPr>
            <w:r>
              <w:rPr>
                <w:rFonts w:ascii="宋体" w:hAnsi="宋体" w:eastAsia="宋体"/>
                <w:sz w:val="24"/>
              </w:rPr>
              <w:t>ACD</w:t>
            </w:r>
          </w:p>
        </w:tc>
        <w:tc>
          <w:tcPr>
            <w:tcW w:w="90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CDE</w:t>
            </w:r>
          </w:p>
        </w:tc>
        <w:tc>
          <w:tcPr>
            <w:tcW w:w="90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BDE</w:t>
            </w:r>
          </w:p>
        </w:tc>
        <w:tc>
          <w:tcPr>
            <w:tcW w:w="900" w:type="dxa"/>
            <w:tcBorders>
              <w:right w:val="single" w:color="auto" w:sz="8" w:space="0"/>
            </w:tcBorders>
            <w:shd w:val="clear" w:color="auto" w:fill="auto"/>
            <w:vAlign w:val="bottom"/>
          </w:tcPr>
          <w:p>
            <w:pPr>
              <w:spacing w:line="0" w:lineRule="atLeast"/>
              <w:ind w:left="280"/>
              <w:rPr>
                <w:rFonts w:ascii="宋体" w:hAnsi="宋体" w:eastAsia="宋体"/>
                <w:sz w:val="24"/>
              </w:rPr>
            </w:pPr>
            <w:r>
              <w:rPr>
                <w:rFonts w:ascii="宋体" w:hAnsi="宋体" w:eastAsia="宋体"/>
                <w:sz w:val="24"/>
              </w:rPr>
              <w:t>CD</w:t>
            </w:r>
          </w:p>
        </w:tc>
        <w:tc>
          <w:tcPr>
            <w:tcW w:w="860" w:type="dxa"/>
            <w:tcBorders>
              <w:right w:val="single" w:color="auto" w:sz="8" w:space="0"/>
            </w:tcBorders>
            <w:shd w:val="clear" w:color="auto" w:fill="auto"/>
            <w:vAlign w:val="bottom"/>
          </w:tcPr>
          <w:p>
            <w:pPr>
              <w:spacing w:line="0" w:lineRule="atLeast"/>
              <w:ind w:right="160"/>
              <w:jc w:val="right"/>
              <w:rPr>
                <w:rFonts w:ascii="宋体" w:hAnsi="宋体" w:eastAsia="宋体"/>
                <w:sz w:val="24"/>
              </w:rPr>
            </w:pPr>
            <w:r>
              <w:rPr>
                <w:rFonts w:ascii="宋体" w:hAnsi="宋体" w:eastAsia="宋体"/>
                <w:sz w:val="24"/>
              </w:rPr>
              <w:t>BCD</w:t>
            </w:r>
          </w:p>
        </w:tc>
        <w:tc>
          <w:tcPr>
            <w:tcW w:w="40" w:type="dxa"/>
            <w:shd w:val="clear" w:color="auto" w:fill="auto"/>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 w:hRule="atLeast"/>
        </w:trPr>
        <w:tc>
          <w:tcPr>
            <w:tcW w:w="9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8"/>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8"/>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8"/>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8"/>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8"/>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8"/>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8"/>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8"/>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8"/>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8"/>
              </w:rPr>
            </w:pPr>
          </w:p>
        </w:tc>
        <w:tc>
          <w:tcPr>
            <w:tcW w:w="40" w:type="dxa"/>
            <w:shd w:val="clear" w:color="auto" w:fill="auto"/>
            <w:vAlign w:val="bottom"/>
          </w:tcPr>
          <w:p>
            <w:pPr>
              <w:spacing w:line="0" w:lineRule="atLeast"/>
              <w:rPr>
                <w:rFonts w:ascii="Times New Roman" w:hAnsi="Times New Roman" w:eastAsia="Times New Roman"/>
                <w:sz w:val="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trPr>
        <w:tc>
          <w:tcPr>
            <w:tcW w:w="960" w:type="dxa"/>
            <w:tcBorders>
              <w:left w:val="single" w:color="auto" w:sz="8" w:space="0"/>
              <w:right w:val="single" w:color="auto" w:sz="8" w:space="0"/>
            </w:tcBorders>
            <w:shd w:val="clear" w:color="auto" w:fill="auto"/>
            <w:vAlign w:val="bottom"/>
          </w:tcPr>
          <w:p>
            <w:pPr>
              <w:spacing w:line="0" w:lineRule="atLeast"/>
              <w:ind w:left="280"/>
              <w:rPr>
                <w:rFonts w:ascii="宋体" w:hAnsi="宋体" w:eastAsia="宋体"/>
                <w:sz w:val="24"/>
              </w:rPr>
            </w:pPr>
            <w:r>
              <w:rPr>
                <w:rFonts w:ascii="宋体" w:hAnsi="宋体" w:eastAsia="宋体"/>
                <w:sz w:val="24"/>
              </w:rPr>
              <w:t>71.</w:t>
            </w:r>
          </w:p>
        </w:tc>
        <w:tc>
          <w:tcPr>
            <w:tcW w:w="880" w:type="dxa"/>
            <w:tcBorders>
              <w:right w:val="single" w:color="auto" w:sz="8" w:space="0"/>
            </w:tcBorders>
            <w:shd w:val="clear" w:color="auto" w:fill="auto"/>
            <w:vAlign w:val="bottom"/>
          </w:tcPr>
          <w:p>
            <w:pPr>
              <w:spacing w:line="0" w:lineRule="atLeast"/>
              <w:ind w:left="220"/>
              <w:rPr>
                <w:rFonts w:ascii="宋体" w:hAnsi="宋体" w:eastAsia="宋体"/>
                <w:sz w:val="24"/>
              </w:rPr>
            </w:pPr>
            <w:r>
              <w:rPr>
                <w:rFonts w:ascii="宋体" w:hAnsi="宋体" w:eastAsia="宋体"/>
                <w:sz w:val="24"/>
              </w:rPr>
              <w:t>72.</w:t>
            </w:r>
          </w:p>
        </w:tc>
        <w:tc>
          <w:tcPr>
            <w:tcW w:w="900" w:type="dxa"/>
            <w:tcBorders>
              <w:right w:val="single" w:color="auto" w:sz="8" w:space="0"/>
            </w:tcBorders>
            <w:shd w:val="clear" w:color="auto" w:fill="auto"/>
            <w:vAlign w:val="bottom"/>
          </w:tcPr>
          <w:p>
            <w:pPr>
              <w:spacing w:line="0" w:lineRule="atLeast"/>
              <w:ind w:left="220"/>
              <w:rPr>
                <w:rFonts w:ascii="宋体" w:hAnsi="宋体" w:eastAsia="宋体"/>
                <w:sz w:val="24"/>
              </w:rPr>
            </w:pPr>
            <w:r>
              <w:rPr>
                <w:rFonts w:ascii="宋体" w:hAnsi="宋体" w:eastAsia="宋体"/>
                <w:sz w:val="24"/>
              </w:rPr>
              <w:t>73.</w:t>
            </w:r>
          </w:p>
        </w:tc>
        <w:tc>
          <w:tcPr>
            <w:tcW w:w="88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74.</w:t>
            </w:r>
          </w:p>
        </w:tc>
        <w:tc>
          <w:tcPr>
            <w:tcW w:w="900" w:type="dxa"/>
            <w:tcBorders>
              <w:right w:val="single" w:color="auto" w:sz="8" w:space="0"/>
            </w:tcBorders>
            <w:shd w:val="clear" w:color="auto" w:fill="auto"/>
            <w:vAlign w:val="bottom"/>
          </w:tcPr>
          <w:p>
            <w:pPr>
              <w:spacing w:line="0" w:lineRule="atLeast"/>
              <w:ind w:left="240"/>
              <w:rPr>
                <w:rFonts w:ascii="宋体" w:hAnsi="宋体" w:eastAsia="宋体"/>
                <w:sz w:val="24"/>
              </w:rPr>
            </w:pPr>
            <w:r>
              <w:rPr>
                <w:rFonts w:ascii="宋体" w:hAnsi="宋体" w:eastAsia="宋体"/>
                <w:sz w:val="24"/>
              </w:rPr>
              <w:t>75.</w:t>
            </w:r>
          </w:p>
        </w:tc>
        <w:tc>
          <w:tcPr>
            <w:tcW w:w="900" w:type="dxa"/>
            <w:tcBorders>
              <w:right w:val="single" w:color="auto" w:sz="8" w:space="0"/>
            </w:tcBorders>
            <w:shd w:val="clear" w:color="auto" w:fill="auto"/>
            <w:vAlign w:val="bottom"/>
          </w:tcPr>
          <w:p>
            <w:pPr>
              <w:spacing w:line="0" w:lineRule="atLeast"/>
              <w:ind w:left="240"/>
              <w:rPr>
                <w:rFonts w:ascii="宋体" w:hAnsi="宋体" w:eastAsia="宋体"/>
                <w:sz w:val="24"/>
              </w:rPr>
            </w:pPr>
            <w:r>
              <w:rPr>
                <w:rFonts w:ascii="宋体" w:hAnsi="宋体" w:eastAsia="宋体"/>
                <w:sz w:val="24"/>
              </w:rPr>
              <w:t>76.</w:t>
            </w:r>
          </w:p>
        </w:tc>
        <w:tc>
          <w:tcPr>
            <w:tcW w:w="90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77.</w:t>
            </w:r>
          </w:p>
        </w:tc>
        <w:tc>
          <w:tcPr>
            <w:tcW w:w="90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78.</w:t>
            </w:r>
          </w:p>
        </w:tc>
        <w:tc>
          <w:tcPr>
            <w:tcW w:w="900" w:type="dxa"/>
            <w:tcBorders>
              <w:right w:val="single" w:color="auto" w:sz="8" w:space="0"/>
            </w:tcBorders>
            <w:shd w:val="clear" w:color="auto" w:fill="auto"/>
            <w:vAlign w:val="bottom"/>
          </w:tcPr>
          <w:p>
            <w:pPr>
              <w:spacing w:line="0" w:lineRule="atLeast"/>
              <w:ind w:left="220"/>
              <w:rPr>
                <w:rFonts w:ascii="宋体" w:hAnsi="宋体" w:eastAsia="宋体"/>
                <w:sz w:val="24"/>
              </w:rPr>
            </w:pPr>
            <w:r>
              <w:rPr>
                <w:rFonts w:ascii="宋体" w:hAnsi="宋体" w:eastAsia="宋体"/>
                <w:sz w:val="24"/>
              </w:rPr>
              <w:t>79.</w:t>
            </w:r>
          </w:p>
        </w:tc>
        <w:tc>
          <w:tcPr>
            <w:tcW w:w="860" w:type="dxa"/>
            <w:tcBorders>
              <w:right w:val="single" w:color="auto" w:sz="8" w:space="0"/>
            </w:tcBorders>
            <w:shd w:val="clear" w:color="auto" w:fill="auto"/>
            <w:vAlign w:val="bottom"/>
          </w:tcPr>
          <w:p>
            <w:pPr>
              <w:spacing w:line="0" w:lineRule="atLeast"/>
              <w:ind w:right="160"/>
              <w:jc w:val="right"/>
              <w:rPr>
                <w:rFonts w:ascii="宋体" w:hAnsi="宋体" w:eastAsia="宋体"/>
                <w:sz w:val="24"/>
              </w:rPr>
            </w:pPr>
            <w:r>
              <w:rPr>
                <w:rFonts w:ascii="宋体" w:hAnsi="宋体" w:eastAsia="宋体"/>
                <w:sz w:val="24"/>
              </w:rPr>
              <w:t>80.</w:t>
            </w:r>
          </w:p>
        </w:tc>
        <w:tc>
          <w:tcPr>
            <w:tcW w:w="40" w:type="dxa"/>
            <w:shd w:val="clear" w:color="auto" w:fill="auto"/>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 w:hRule="atLeast"/>
        </w:trPr>
        <w:tc>
          <w:tcPr>
            <w:tcW w:w="960" w:type="dxa"/>
            <w:tcBorders>
              <w:left w:val="single" w:color="auto" w:sz="8" w:space="0"/>
              <w:right w:val="single" w:color="auto" w:sz="8" w:space="0"/>
            </w:tcBorders>
            <w:shd w:val="clear" w:color="auto" w:fill="auto"/>
            <w:vAlign w:val="bottom"/>
          </w:tcPr>
          <w:p>
            <w:pPr>
              <w:spacing w:line="0" w:lineRule="atLeast"/>
              <w:ind w:left="280"/>
              <w:rPr>
                <w:rFonts w:ascii="宋体" w:hAnsi="宋体" w:eastAsia="宋体"/>
                <w:sz w:val="24"/>
              </w:rPr>
            </w:pPr>
            <w:r>
              <w:rPr>
                <w:rFonts w:ascii="宋体" w:hAnsi="宋体" w:eastAsia="宋体"/>
                <w:sz w:val="24"/>
              </w:rPr>
              <w:t>ABE</w:t>
            </w:r>
          </w:p>
        </w:tc>
        <w:tc>
          <w:tcPr>
            <w:tcW w:w="880" w:type="dxa"/>
            <w:tcBorders>
              <w:right w:val="single" w:color="auto" w:sz="8" w:space="0"/>
            </w:tcBorders>
            <w:shd w:val="clear" w:color="auto" w:fill="auto"/>
            <w:vAlign w:val="bottom"/>
          </w:tcPr>
          <w:p>
            <w:pPr>
              <w:spacing w:line="0" w:lineRule="atLeast"/>
              <w:ind w:left="220"/>
              <w:rPr>
                <w:rFonts w:ascii="宋体" w:hAnsi="宋体" w:eastAsia="宋体"/>
                <w:sz w:val="24"/>
              </w:rPr>
            </w:pPr>
            <w:r>
              <w:rPr>
                <w:rFonts w:ascii="宋体" w:hAnsi="宋体" w:eastAsia="宋体"/>
                <w:sz w:val="24"/>
              </w:rPr>
              <w:t>CDE</w:t>
            </w:r>
          </w:p>
        </w:tc>
        <w:tc>
          <w:tcPr>
            <w:tcW w:w="900" w:type="dxa"/>
            <w:tcBorders>
              <w:right w:val="single" w:color="auto" w:sz="8" w:space="0"/>
            </w:tcBorders>
            <w:shd w:val="clear" w:color="auto" w:fill="auto"/>
            <w:vAlign w:val="bottom"/>
          </w:tcPr>
          <w:p>
            <w:pPr>
              <w:spacing w:line="0" w:lineRule="atLeast"/>
              <w:ind w:left="220"/>
              <w:rPr>
                <w:rFonts w:ascii="宋体" w:hAnsi="宋体" w:eastAsia="宋体"/>
                <w:sz w:val="24"/>
              </w:rPr>
            </w:pPr>
            <w:r>
              <w:rPr>
                <w:rFonts w:ascii="宋体" w:hAnsi="宋体" w:eastAsia="宋体"/>
                <w:sz w:val="24"/>
              </w:rPr>
              <w:t>ABC</w:t>
            </w:r>
          </w:p>
        </w:tc>
        <w:tc>
          <w:tcPr>
            <w:tcW w:w="88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BD</w:t>
            </w:r>
          </w:p>
        </w:tc>
        <w:tc>
          <w:tcPr>
            <w:tcW w:w="900" w:type="dxa"/>
            <w:tcBorders>
              <w:right w:val="single" w:color="auto" w:sz="8" w:space="0"/>
            </w:tcBorders>
            <w:shd w:val="clear" w:color="auto" w:fill="auto"/>
            <w:vAlign w:val="bottom"/>
          </w:tcPr>
          <w:p>
            <w:pPr>
              <w:spacing w:line="0" w:lineRule="atLeast"/>
              <w:ind w:left="240"/>
              <w:rPr>
                <w:rFonts w:ascii="宋体" w:hAnsi="宋体" w:eastAsia="宋体"/>
                <w:sz w:val="24"/>
              </w:rPr>
            </w:pPr>
            <w:r>
              <w:rPr>
                <w:rFonts w:ascii="宋体" w:hAnsi="宋体" w:eastAsia="宋体"/>
                <w:sz w:val="24"/>
              </w:rPr>
              <w:t>ACD</w:t>
            </w:r>
          </w:p>
        </w:tc>
        <w:tc>
          <w:tcPr>
            <w:tcW w:w="900" w:type="dxa"/>
            <w:tcBorders>
              <w:right w:val="single" w:color="auto" w:sz="8" w:space="0"/>
            </w:tcBorders>
            <w:shd w:val="clear" w:color="auto" w:fill="auto"/>
            <w:vAlign w:val="bottom"/>
          </w:tcPr>
          <w:p>
            <w:pPr>
              <w:spacing w:line="0" w:lineRule="atLeast"/>
              <w:ind w:left="240"/>
              <w:rPr>
                <w:rFonts w:ascii="宋体" w:hAnsi="宋体" w:eastAsia="宋体"/>
                <w:sz w:val="24"/>
              </w:rPr>
            </w:pPr>
            <w:r>
              <w:rPr>
                <w:rFonts w:ascii="宋体" w:hAnsi="宋体" w:eastAsia="宋体"/>
                <w:sz w:val="24"/>
              </w:rPr>
              <w:t>CDE</w:t>
            </w:r>
          </w:p>
        </w:tc>
        <w:tc>
          <w:tcPr>
            <w:tcW w:w="90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CD</w:t>
            </w:r>
          </w:p>
        </w:tc>
        <w:tc>
          <w:tcPr>
            <w:tcW w:w="900" w:type="dxa"/>
            <w:tcBorders>
              <w:right w:val="single" w:color="auto" w:sz="8" w:space="0"/>
            </w:tcBorders>
            <w:shd w:val="clear" w:color="auto" w:fill="auto"/>
            <w:vAlign w:val="bottom"/>
          </w:tcPr>
          <w:p>
            <w:pPr>
              <w:spacing w:line="0" w:lineRule="atLeast"/>
              <w:jc w:val="center"/>
              <w:rPr>
                <w:rFonts w:ascii="宋体" w:hAnsi="宋体" w:eastAsia="宋体"/>
                <w:w w:val="99"/>
                <w:sz w:val="24"/>
              </w:rPr>
            </w:pPr>
            <w:r>
              <w:rPr>
                <w:rFonts w:ascii="宋体" w:hAnsi="宋体" w:eastAsia="宋体"/>
                <w:w w:val="99"/>
                <w:sz w:val="24"/>
              </w:rPr>
              <w:t>ABDE</w:t>
            </w:r>
          </w:p>
        </w:tc>
        <w:tc>
          <w:tcPr>
            <w:tcW w:w="900" w:type="dxa"/>
            <w:tcBorders>
              <w:right w:val="single" w:color="auto" w:sz="8" w:space="0"/>
            </w:tcBorders>
            <w:shd w:val="clear" w:color="auto" w:fill="auto"/>
            <w:vAlign w:val="bottom"/>
          </w:tcPr>
          <w:p>
            <w:pPr>
              <w:spacing w:line="0" w:lineRule="atLeast"/>
              <w:ind w:left="220"/>
              <w:rPr>
                <w:rFonts w:ascii="宋体" w:hAnsi="宋体" w:eastAsia="宋体"/>
                <w:sz w:val="24"/>
              </w:rPr>
            </w:pPr>
            <w:r>
              <w:rPr>
                <w:rFonts w:ascii="宋体" w:hAnsi="宋体" w:eastAsia="宋体"/>
                <w:sz w:val="24"/>
              </w:rPr>
              <w:t>CDE</w:t>
            </w:r>
          </w:p>
        </w:tc>
        <w:tc>
          <w:tcPr>
            <w:tcW w:w="860" w:type="dxa"/>
            <w:tcBorders>
              <w:right w:val="single" w:color="auto" w:sz="8" w:space="0"/>
            </w:tcBorders>
            <w:shd w:val="clear" w:color="auto" w:fill="auto"/>
            <w:vAlign w:val="bottom"/>
          </w:tcPr>
          <w:p>
            <w:pPr>
              <w:spacing w:line="0" w:lineRule="atLeast"/>
              <w:ind w:right="100"/>
              <w:jc w:val="right"/>
              <w:rPr>
                <w:rFonts w:ascii="宋体" w:hAnsi="宋体" w:eastAsia="宋体"/>
                <w:sz w:val="24"/>
              </w:rPr>
            </w:pPr>
            <w:r>
              <w:rPr>
                <w:rFonts w:ascii="宋体" w:hAnsi="宋体" w:eastAsia="宋体"/>
                <w:sz w:val="24"/>
              </w:rPr>
              <w:t>BCDE</w:t>
            </w:r>
          </w:p>
        </w:tc>
        <w:tc>
          <w:tcPr>
            <w:tcW w:w="40" w:type="dxa"/>
            <w:shd w:val="clear" w:color="auto" w:fill="auto"/>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 w:hRule="atLeast"/>
        </w:trPr>
        <w:tc>
          <w:tcPr>
            <w:tcW w:w="9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9"/>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9"/>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9"/>
              </w:rPr>
            </w:pPr>
          </w:p>
        </w:tc>
        <w:tc>
          <w:tcPr>
            <w:tcW w:w="8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9"/>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9"/>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9"/>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9"/>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9"/>
              </w:rPr>
            </w:pPr>
          </w:p>
        </w:tc>
        <w:tc>
          <w:tcPr>
            <w:tcW w:w="9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9"/>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9"/>
              </w:rPr>
            </w:pPr>
          </w:p>
        </w:tc>
        <w:tc>
          <w:tcPr>
            <w:tcW w:w="40" w:type="dxa"/>
            <w:shd w:val="clear" w:color="auto" w:fill="auto"/>
            <w:vAlign w:val="bottom"/>
          </w:tcPr>
          <w:p>
            <w:pPr>
              <w:spacing w:line="0" w:lineRule="atLeast"/>
              <w:rPr>
                <w:rFonts w:ascii="Times New Roman" w:hAnsi="Times New Roman" w:eastAsia="Times New Roman"/>
                <w:sz w:val="9"/>
              </w:rPr>
            </w:pPr>
          </w:p>
        </w:tc>
      </w:tr>
    </w:tbl>
    <w:p>
      <w:pPr>
        <w:ind w:firstLine="0" w:firstLineChars="200"/>
      </w:pPr>
    </w:p>
    <w:p>
      <w:pPr>
        <w:tabs>
          <w:tab w:val="left" w:pos="2700"/>
          <w:tab w:val="left" w:pos="4760"/>
          <w:tab w:val="left" w:pos="7800"/>
          <w:tab w:val="left" w:pos="9500"/>
        </w:tabs>
      </w:pPr>
      <w:r>
        <w:tab/>
      </w:r>
      <w:r>
        <w:tab/>
      </w:r>
      <w:r>
        <w:tab/>
      </w:r>
    </w:p>
    <w:p>
      <w:pPr>
        <w:tabs>
          <w:tab w:val="left" w:pos="480"/>
          <w:tab w:val="left" w:pos="1320"/>
          <w:tab w:val="left" w:pos="2040"/>
          <w:tab w:val="left" w:pos="4560"/>
          <w:tab w:val="left" w:pos="8040"/>
        </w:tabs>
      </w:pPr>
      <w:r>
        <w:tab/>
      </w:r>
    </w:p>
    <w:p>
      <w:pPr>
        <w:tabs>
          <w:tab w:val="left" w:pos="2680"/>
          <w:tab w:val="left" w:pos="4700"/>
          <w:tab w:val="left" w:pos="6760"/>
        </w:tabs>
      </w:pPr>
      <w:r>
        <w:tab/>
      </w:r>
    </w:p>
    <w:p>
      <w:pPr>
        <w:numPr>
          <w:ilvl w:val="0"/>
          <w:numId w:val="0"/>
        </w:numPr>
      </w:pPr>
    </w:p>
    <w:p>
      <w:pPr/>
    </w:p>
    <w:p>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兰亭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AEF7D"/>
    <w:multiLevelType w:val="singleLevel"/>
    <w:tmpl w:val="57AAEF7D"/>
    <w:lvl w:ilvl="0" w:tentative="0">
      <w:start w:val="8"/>
      <w:numFmt w:val="decimal"/>
      <w:suff w:val="nothing"/>
      <w:lvlText w:val="%1."/>
      <w:lvlJc w:val="left"/>
    </w:lvl>
  </w:abstractNum>
  <w:abstractNum w:abstractNumId="1">
    <w:nsid w:val="57AAF21D"/>
    <w:multiLevelType w:val="singleLevel"/>
    <w:tmpl w:val="57AAF21D"/>
    <w:lvl w:ilvl="0" w:tentative="0">
      <w:start w:val="34"/>
      <w:numFmt w:val="decimal"/>
      <w:suff w:val="nothing"/>
      <w:lvlText w:val="%1."/>
      <w:lvlJc w:val="left"/>
    </w:lvl>
  </w:abstractNum>
  <w:abstractNum w:abstractNumId="2">
    <w:nsid w:val="57AAF65D"/>
    <w:multiLevelType w:val="singleLevel"/>
    <w:tmpl w:val="57AAF65D"/>
    <w:lvl w:ilvl="0" w:tentative="0">
      <w:start w:val="27"/>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457B9"/>
    <w:rsid w:val="01DC5E9F"/>
    <w:rsid w:val="06527575"/>
    <w:rsid w:val="06E67292"/>
    <w:rsid w:val="0B8409AC"/>
    <w:rsid w:val="0F4470C3"/>
    <w:rsid w:val="0F5D7596"/>
    <w:rsid w:val="0F6457B9"/>
    <w:rsid w:val="12C45112"/>
    <w:rsid w:val="153F1C1C"/>
    <w:rsid w:val="1E7A6B3B"/>
    <w:rsid w:val="23CD716E"/>
    <w:rsid w:val="2697665C"/>
    <w:rsid w:val="26B530BC"/>
    <w:rsid w:val="27C25219"/>
    <w:rsid w:val="2A702001"/>
    <w:rsid w:val="2DFA1629"/>
    <w:rsid w:val="2FF072F4"/>
    <w:rsid w:val="328E392E"/>
    <w:rsid w:val="37630671"/>
    <w:rsid w:val="384B222D"/>
    <w:rsid w:val="385C6308"/>
    <w:rsid w:val="3A6F2C7F"/>
    <w:rsid w:val="3B20575A"/>
    <w:rsid w:val="3BF4573B"/>
    <w:rsid w:val="3D492715"/>
    <w:rsid w:val="3D52559B"/>
    <w:rsid w:val="4061195D"/>
    <w:rsid w:val="408508BC"/>
    <w:rsid w:val="40EC476A"/>
    <w:rsid w:val="45AF2A0F"/>
    <w:rsid w:val="463566E2"/>
    <w:rsid w:val="494A2343"/>
    <w:rsid w:val="4F9A22AA"/>
    <w:rsid w:val="556C26C1"/>
    <w:rsid w:val="55A765C1"/>
    <w:rsid w:val="56FF5710"/>
    <w:rsid w:val="59043F8A"/>
    <w:rsid w:val="592560CF"/>
    <w:rsid w:val="5945291C"/>
    <w:rsid w:val="5F8045D9"/>
    <w:rsid w:val="65324747"/>
    <w:rsid w:val="664E2905"/>
    <w:rsid w:val="67373183"/>
    <w:rsid w:val="673D4C68"/>
    <w:rsid w:val="68CA5BFF"/>
    <w:rsid w:val="6D433831"/>
    <w:rsid w:val="6DE267C3"/>
    <w:rsid w:val="71DF612B"/>
    <w:rsid w:val="7B4A57DB"/>
    <w:rsid w:val="7B8E1C4B"/>
    <w:rsid w:val="7C640D05"/>
    <w:rsid w:val="7D6E31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2016-08-10T09:04:00Z</dcterms:created>
  <dc:creator>wang</dc:creator>
  <cp:lastModifiedBy>wang</cp:lastModifiedBy>
  <dcterms:modified xsi:type="dcterms:W3CDTF">2016-08-11T03:30:59Z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